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6C5BD4" w14:textId="1D7FD448" w:rsidR="00D0573B" w:rsidRPr="008D1868" w:rsidRDefault="00D0573B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szCs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 w:rsidRPr="008D1868">
        <w:rPr>
          <w:rFonts w:cs="Arial"/>
          <w:b/>
          <w:sz w:val="22"/>
          <w:szCs w:val="22"/>
          <w:lang w:val="en-US"/>
        </w:rPr>
        <w:t>3GPP TSG-RAN WG2 #</w:t>
      </w:r>
      <w:r w:rsidR="00C749EF" w:rsidRPr="008D1868">
        <w:rPr>
          <w:rFonts w:cs="Arial"/>
          <w:b/>
          <w:sz w:val="22"/>
          <w:szCs w:val="22"/>
          <w:lang w:val="en-US"/>
        </w:rPr>
        <w:t>11</w:t>
      </w:r>
      <w:r w:rsidR="00C749EF">
        <w:rPr>
          <w:rFonts w:cs="Arial"/>
          <w:b/>
          <w:sz w:val="22"/>
          <w:szCs w:val="22"/>
          <w:lang w:val="en-US"/>
        </w:rPr>
        <w:t>7</w:t>
      </w:r>
      <w:r w:rsidRPr="008D1868">
        <w:rPr>
          <w:rFonts w:cs="Arial"/>
          <w:b/>
          <w:sz w:val="22"/>
          <w:szCs w:val="22"/>
          <w:lang w:val="en-US"/>
        </w:rPr>
        <w:t>-e</w:t>
      </w:r>
      <w:bookmarkStart w:id="4" w:name="_GoBack"/>
      <w:bookmarkEnd w:id="4"/>
      <w:r w:rsidRPr="008D1868">
        <w:rPr>
          <w:rFonts w:cs="Arial"/>
          <w:b/>
          <w:i/>
          <w:sz w:val="22"/>
          <w:szCs w:val="22"/>
          <w:lang w:val="en-US"/>
        </w:rPr>
        <w:tab/>
      </w:r>
      <w:r w:rsidR="00CE34DB" w:rsidRPr="00CE34DB">
        <w:rPr>
          <w:rFonts w:cs="Arial"/>
          <w:b/>
          <w:i/>
          <w:sz w:val="22"/>
          <w:szCs w:val="22"/>
          <w:lang w:val="en-US" w:eastAsia="zh-CN"/>
        </w:rPr>
        <w:t>R2-2202195</w:t>
      </w:r>
    </w:p>
    <w:p w14:paraId="540B9A86" w14:textId="6A738FF5" w:rsidR="00D0573B" w:rsidRDefault="00D0573B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 w:rsidRPr="008D1868">
        <w:rPr>
          <w:rFonts w:cs="Arial"/>
          <w:b/>
          <w:sz w:val="22"/>
          <w:szCs w:val="22"/>
          <w:lang w:val="en-US"/>
        </w:rPr>
        <w:t xml:space="preserve">E-meeting, </w:t>
      </w:r>
      <w:r w:rsidR="00CE34DB">
        <w:rPr>
          <w:rFonts w:cs="Arial"/>
          <w:b/>
          <w:sz w:val="22"/>
          <w:szCs w:val="22"/>
          <w:lang w:val="en-US"/>
        </w:rPr>
        <w:t>February</w:t>
      </w:r>
      <w:r w:rsidR="00C749EF" w:rsidRPr="008D1868">
        <w:rPr>
          <w:rFonts w:cs="Arial"/>
          <w:b/>
          <w:sz w:val="22"/>
          <w:szCs w:val="22"/>
          <w:lang w:val="en-US"/>
        </w:rPr>
        <w:t xml:space="preserve"> </w:t>
      </w:r>
      <w:r w:rsidRPr="008D1868">
        <w:rPr>
          <w:rFonts w:cs="Arial"/>
          <w:b/>
          <w:sz w:val="22"/>
          <w:szCs w:val="22"/>
          <w:lang w:val="en-US"/>
        </w:rPr>
        <w:t>202</w:t>
      </w:r>
      <w:r w:rsidR="006673DC">
        <w:rPr>
          <w:rFonts w:cs="Arial"/>
          <w:b/>
          <w:sz w:val="22"/>
          <w:szCs w:val="22"/>
          <w:lang w:val="en-US"/>
        </w:rPr>
        <w:t>2</w:t>
      </w:r>
      <w:r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14:paraId="5C33DD98" w14:textId="77777777" w:rsidR="00D0573B" w:rsidRDefault="00D0573B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14:paraId="4CC90508" w14:textId="31E230CE" w:rsidR="00D0573B" w:rsidRDefault="00D0573B">
      <w:pPr>
        <w:pStyle w:val="3GPPHeader"/>
        <w:rPr>
          <w:sz w:val="22"/>
          <w:szCs w:val="22"/>
        </w:rPr>
      </w:pPr>
      <w:r w:rsidRPr="000575E5">
        <w:rPr>
          <w:sz w:val="22"/>
          <w:szCs w:val="22"/>
        </w:rPr>
        <w:t>Agenda Item:</w:t>
      </w:r>
      <w:r w:rsidRPr="000575E5">
        <w:rPr>
          <w:sz w:val="22"/>
          <w:szCs w:val="22"/>
        </w:rPr>
        <w:tab/>
      </w:r>
      <w:r w:rsidR="00CE34DB">
        <w:rPr>
          <w:sz w:val="22"/>
          <w:szCs w:val="22"/>
          <w:highlight w:val="yellow"/>
        </w:rPr>
        <w:t>6.1.4.3</w:t>
      </w:r>
    </w:p>
    <w:p w14:paraId="56D2E490" w14:textId="77777777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</w:p>
    <w:p w14:paraId="73974E49" w14:textId="08A147C6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790CC9">
        <w:rPr>
          <w:sz w:val="22"/>
          <w:szCs w:val="22"/>
        </w:rPr>
        <w:t>Left issues on DAPS capability</w:t>
      </w:r>
    </w:p>
    <w:p w14:paraId="0EA34EE4" w14:textId="77777777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2A164AC9" w14:textId="77777777" w:rsidR="00D0573B" w:rsidRDefault="00D0573B" w:rsidP="00D7189E">
      <w:pPr>
        <w:spacing w:beforeLines="50" w:before="120"/>
      </w:pPr>
    </w:p>
    <w:p w14:paraId="343FBF36" w14:textId="77777777" w:rsidR="00D0573B" w:rsidRDefault="00D0573B">
      <w:pPr>
        <w:pStyle w:val="1"/>
      </w:pPr>
      <w:bookmarkStart w:id="5" w:name="_Ref488331639"/>
      <w:r>
        <w:t>Introduction</w:t>
      </w:r>
      <w:bookmarkEnd w:id="5"/>
    </w:p>
    <w:p w14:paraId="0C974B52" w14:textId="005B9895" w:rsidR="002D485A" w:rsidRPr="0029477E" w:rsidRDefault="00D0573B" w:rsidP="0029477E">
      <w:pPr>
        <w:pStyle w:val="ac"/>
        <w:spacing w:before="120"/>
      </w:pPr>
      <w:r>
        <w:rPr>
          <w:rFonts w:cs="Arial"/>
        </w:rPr>
        <w:t xml:space="preserve">This is </w:t>
      </w:r>
      <w:bookmarkStart w:id="6" w:name="_Ref178064866"/>
      <w:r w:rsidR="003264B4">
        <w:rPr>
          <w:rFonts w:cs="Arial"/>
        </w:rPr>
        <w:t xml:space="preserve">to discuss the </w:t>
      </w:r>
      <w:r w:rsidR="00790CC9">
        <w:rPr>
          <w:rFonts w:cs="Arial"/>
        </w:rPr>
        <w:t xml:space="preserve">left </w:t>
      </w:r>
      <w:r w:rsidR="003264B4">
        <w:rPr>
          <w:rFonts w:cs="Arial"/>
        </w:rPr>
        <w:t xml:space="preserve">issue </w:t>
      </w:r>
      <w:r w:rsidR="00790CC9">
        <w:rPr>
          <w:rFonts w:cs="Arial"/>
        </w:rPr>
        <w:t>on DAPS capability</w:t>
      </w:r>
      <w:r w:rsidR="0029477E">
        <w:rPr>
          <w:rFonts w:cs="Arial"/>
        </w:rPr>
        <w:t>.</w:t>
      </w:r>
    </w:p>
    <w:bookmarkEnd w:id="6"/>
    <w:p w14:paraId="23312DF5" w14:textId="54F94E71" w:rsidR="00D0573B" w:rsidRDefault="007E5320" w:rsidP="005662A3">
      <w:pPr>
        <w:pStyle w:val="1"/>
        <w:ind w:left="720" w:hangingChars="200" w:hanging="720"/>
        <w:jc w:val="both"/>
      </w:pPr>
      <w:r>
        <w:t>Discussion</w:t>
      </w:r>
    </w:p>
    <w:p w14:paraId="7B43155F" w14:textId="1C3C27B0" w:rsidR="00790CC9" w:rsidRDefault="00790CC9" w:rsidP="00790CC9">
      <w:r>
        <w:rPr>
          <w:rFonts w:hint="eastAsia"/>
        </w:rPr>
        <w:t>I</w:t>
      </w:r>
      <w:r>
        <w:t>n RAN2#116, the following agreements are made</w:t>
      </w:r>
    </w:p>
    <w:p w14:paraId="40878070" w14:textId="77777777" w:rsidR="00790CC9" w:rsidRDefault="00790CC9" w:rsidP="00790CC9">
      <w:pPr>
        <w:pStyle w:val="Agreement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19"/>
          <w:tab w:val="num" w:pos="6930"/>
        </w:tabs>
        <w:ind w:left="357" w:hanging="357"/>
        <w:rPr>
          <w:lang w:val="en-US"/>
        </w:rPr>
      </w:pPr>
      <w:r>
        <w:t>[012] The capability for source/target cell in intra-frequency DAPS handover is derived based on a pair of per-CC feature-set ID in the same band-entry, and  the capability for source/target cell in inter-frequency DAPS handover is derived from a pair of per-CC feature-set ID in the same or different band entries. Correction in TS 38.306 is needed to clarify this.</w:t>
      </w:r>
    </w:p>
    <w:p w14:paraId="29572573" w14:textId="77777777" w:rsidR="00790CC9" w:rsidRDefault="00790CC9" w:rsidP="00790CC9">
      <w:pPr>
        <w:pStyle w:val="Agreement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19"/>
          <w:tab w:val="num" w:pos="6930"/>
        </w:tabs>
        <w:ind w:left="357" w:hanging="357"/>
      </w:pPr>
      <w:r>
        <w:t>[012] RAN2 confirm inter-frequency DAPS HO with overlapping BW between source and target cell is NOT supported.</w:t>
      </w:r>
    </w:p>
    <w:p w14:paraId="0F4481AD" w14:textId="77777777" w:rsidR="00790CC9" w:rsidRDefault="00790CC9" w:rsidP="00790CC9">
      <w:pPr>
        <w:pStyle w:val="Agreement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19"/>
          <w:tab w:val="num" w:pos="6930"/>
        </w:tabs>
        <w:ind w:left="357" w:hanging="357"/>
      </w:pPr>
      <w:r>
        <w:t>[012] RAN2 confirms: the legacy reported field of 1) frequency-separation and 2) BCS is not applicable for intra-frequency DAPS handover.</w:t>
      </w:r>
    </w:p>
    <w:p w14:paraId="522F759B" w14:textId="77777777" w:rsidR="00790CC9" w:rsidRDefault="00790CC9" w:rsidP="00790CC9">
      <w:pPr>
        <w:pStyle w:val="Agreement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19"/>
          <w:tab w:val="num" w:pos="6930"/>
        </w:tabs>
        <w:ind w:left="357" w:hanging="357"/>
      </w:pPr>
      <w:r>
        <w:t>[012] RAN2 confirm</w:t>
      </w:r>
      <w:r>
        <w:rPr>
          <w:lang w:eastAsia="zh-CN"/>
        </w:rPr>
        <w:t>s</w:t>
      </w:r>
      <w:r>
        <w:t xml:space="preserve"> that the FSpCC pair in band entriy of BW Class-A is applicable for intra-frequency DAPS HO but not for intra-band inter-frequency DAPS HO case. Correction in TS 38.306 is needed to clarify this.</w:t>
      </w:r>
    </w:p>
    <w:p w14:paraId="01BF9826" w14:textId="77777777" w:rsidR="00790CC9" w:rsidRPr="00790CC9" w:rsidRDefault="00790CC9" w:rsidP="00790CC9">
      <w:pPr>
        <w:pStyle w:val="Agreement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19"/>
          <w:tab w:val="num" w:pos="6930"/>
        </w:tabs>
        <w:ind w:left="357" w:hanging="357"/>
        <w:rPr>
          <w:highlight w:val="yellow"/>
        </w:rPr>
      </w:pPr>
      <w:r w:rsidRPr="00790CC9">
        <w:rPr>
          <w:highlight w:val="yellow"/>
        </w:rPr>
        <w:t>[012] RAN2 further discuss that, for inter-frequency DAPS HO cases where the BW of source and target cells are NOT overlapping with each other, the 1) BW-class, 2) frequency-separation and 3) BCS restriction reported in the same BC-entry are all applicable to DAPS FSC.</w:t>
      </w:r>
    </w:p>
    <w:p w14:paraId="2E3C9F4E" w14:textId="77777777" w:rsidR="00790CC9" w:rsidRDefault="00790CC9" w:rsidP="00790CC9">
      <w:pPr>
        <w:pStyle w:val="Agreement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19"/>
          <w:tab w:val="num" w:pos="6930"/>
        </w:tabs>
        <w:ind w:left="357" w:hanging="357"/>
      </w:pPr>
      <w:r>
        <w:t>[012] discussion on FFS point above is postponed</w:t>
      </w:r>
    </w:p>
    <w:p w14:paraId="4ACB4442" w14:textId="721B5641" w:rsidR="00790CC9" w:rsidRDefault="00790CC9" w:rsidP="00790CC9">
      <w:pPr>
        <w:spacing w:beforeLines="50" w:before="120"/>
      </w:pPr>
      <w:r>
        <w:t>I.e., the left issue is how to handle the BWS, frequency-</w:t>
      </w:r>
      <w:r w:rsidR="00CE34DB">
        <w:t>separation</w:t>
      </w:r>
      <w:r>
        <w:t>, BCS for inter-frequency DAPS HO.</w:t>
      </w:r>
    </w:p>
    <w:p w14:paraId="293905D4" w14:textId="184C87B7" w:rsidR="00790CC9" w:rsidRDefault="00790CC9" w:rsidP="00790CC9">
      <w:pPr>
        <w:spacing w:beforeLines="50" w:before="120"/>
      </w:pPr>
      <w:r>
        <w:t>Considering DAPS is limited to single source cell and single target cell case, for each band-entry</w:t>
      </w:r>
    </w:p>
    <w:p w14:paraId="4AFF3F1D" w14:textId="1E97BF78" w:rsidR="00790CC9" w:rsidRDefault="00790CC9" w:rsidP="00790CC9">
      <w:pPr>
        <w:pStyle w:val="af7"/>
        <w:numPr>
          <w:ilvl w:val="0"/>
          <w:numId w:val="32"/>
        </w:numPr>
        <w:spacing w:beforeLines="50" w:before="120"/>
        <w:ind w:left="357" w:hanging="357"/>
        <w:contextualSpacing w:val="0"/>
      </w:pPr>
      <w:r>
        <w:rPr>
          <w:rFonts w:hint="eastAsia"/>
        </w:rPr>
        <w:t>I</w:t>
      </w:r>
      <w:r>
        <w:t>n case of BWC A, only intra-frequency DAPS HO applies, and thus frequency separation and BCS is not applicable, since they are not used for non-CA case;</w:t>
      </w:r>
    </w:p>
    <w:p w14:paraId="18F746A6" w14:textId="10BEB512" w:rsidR="00790CC9" w:rsidRDefault="00790CC9" w:rsidP="00790CC9">
      <w:pPr>
        <w:pStyle w:val="af7"/>
        <w:numPr>
          <w:ilvl w:val="0"/>
          <w:numId w:val="32"/>
        </w:numPr>
        <w:spacing w:beforeLines="50" w:before="120"/>
        <w:ind w:left="357" w:hanging="357"/>
        <w:contextualSpacing w:val="0"/>
      </w:pPr>
      <w:r>
        <w:rPr>
          <w:rFonts w:hint="eastAsia"/>
        </w:rPr>
        <w:t>I</w:t>
      </w:r>
      <w:r>
        <w:t>n case of BWC B/C/D, not sure how to handle the BWC, frequency-separation and BCS.</w:t>
      </w:r>
    </w:p>
    <w:p w14:paraId="7F351ACC" w14:textId="095534B7" w:rsidR="00790CC9" w:rsidRDefault="00790CC9" w:rsidP="00790CC9">
      <w:pPr>
        <w:spacing w:beforeLines="50" w:before="120"/>
      </w:pPr>
      <w:r>
        <w:rPr>
          <w:rFonts w:hint="eastAsia"/>
        </w:rPr>
        <w:t>F</w:t>
      </w:r>
      <w:r>
        <w:t>irstly, considering BWC D/E… are used for more than 3 CC case, while DAPS is only for the case of 2 CC (source PCell and target PCell), there seems no reason to apply BWC D/E and above to DAPS FSC.</w:t>
      </w:r>
    </w:p>
    <w:p w14:paraId="24D40A07" w14:textId="63CDE907" w:rsidR="00823510" w:rsidRDefault="00823510" w:rsidP="00790CC9">
      <w:pPr>
        <w:spacing w:beforeLines="50" w:before="120"/>
      </w:pPr>
      <w:r>
        <w:t>Another perspective is that when BWC D/E is reported, the intention is for network to make use of the 2-CC fallback case of the concerned BC for DAPS handover</w:t>
      </w:r>
      <w:r w:rsidR="00DA378F">
        <w:t xml:space="preserve"> for inter-frequency DAPS HO</w:t>
      </w:r>
      <w:r>
        <w:t>.</w:t>
      </w:r>
    </w:p>
    <w:p w14:paraId="665945DF" w14:textId="37826CFA" w:rsidR="00F46B01" w:rsidRPr="00823510" w:rsidRDefault="00F46B01" w:rsidP="00790CC9">
      <w:pPr>
        <w:spacing w:beforeLines="50" w:before="120"/>
      </w:pPr>
      <w:r>
        <w:rPr>
          <w:rFonts w:hint="eastAsia"/>
        </w:rPr>
        <w:t>R</w:t>
      </w:r>
      <w:r>
        <w:t>AN2 discussion is needed to down-select between the two</w:t>
      </w:r>
    </w:p>
    <w:p w14:paraId="709C48BE" w14:textId="4D7726CD" w:rsidR="00790CC9" w:rsidRDefault="00790CC9" w:rsidP="00790CC9">
      <w:pPr>
        <w:pStyle w:val="Proposal"/>
        <w:numPr>
          <w:ilvl w:val="0"/>
          <w:numId w:val="7"/>
        </w:numPr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7" w:name="_Toc95401280"/>
      <w:r>
        <w:rPr>
          <w:rFonts w:hint="eastAsia"/>
        </w:rPr>
        <w:t>R</w:t>
      </w:r>
      <w:r>
        <w:t xml:space="preserve">2 </w:t>
      </w:r>
      <w:r w:rsidR="00F46B01">
        <w:t xml:space="preserve">discuss </w:t>
      </w:r>
      <w:r>
        <w:t xml:space="preserve">that BWC of D/E and above </w:t>
      </w:r>
      <w:r w:rsidR="00D64724">
        <w:t xml:space="preserve">(and BCS, frequency separation in case of BWC D/E and above) </w:t>
      </w:r>
      <w:r>
        <w:t xml:space="preserve">are </w:t>
      </w:r>
      <w:r w:rsidR="00F46B01">
        <w:t xml:space="preserve">1) </w:t>
      </w:r>
      <w:r>
        <w:t>not applicable to DAPS FSC</w:t>
      </w:r>
      <w:r w:rsidR="00DA378F">
        <w:t xml:space="preserve"> for inter-frequency DAPS</w:t>
      </w:r>
      <w:r w:rsidR="00F46B01">
        <w:t xml:space="preserve">, </w:t>
      </w:r>
      <w:r w:rsidR="00DA378F">
        <w:t xml:space="preserve">or </w:t>
      </w:r>
      <w:r w:rsidR="00F46B01">
        <w:t xml:space="preserve">2) applicable to DAPS FSC </w:t>
      </w:r>
      <w:r w:rsidR="00DA378F">
        <w:t xml:space="preserve">for inter-frequency DAPS </w:t>
      </w:r>
      <w:r w:rsidR="00F46B01">
        <w:t xml:space="preserve">based on 2-CC fallback </w:t>
      </w:r>
      <w:r w:rsidR="00DA378F">
        <w:t>BC</w:t>
      </w:r>
      <w:r>
        <w:t>.</w:t>
      </w:r>
      <w:bookmarkEnd w:id="7"/>
    </w:p>
    <w:p w14:paraId="1CBD94DC" w14:textId="3EE4FB8A" w:rsidR="00D64724" w:rsidRDefault="00790CC9" w:rsidP="00790CC9">
      <w:pPr>
        <w:spacing w:beforeLines="50" w:before="120"/>
      </w:pPr>
      <w:r>
        <w:rPr>
          <w:rFonts w:hint="eastAsia"/>
        </w:rPr>
        <w:lastRenderedPageBreak/>
        <w:t>T</w:t>
      </w:r>
      <w:r>
        <w:t xml:space="preserve">hen for BWC B/C, </w:t>
      </w:r>
      <w:r w:rsidR="00D64724">
        <w:t>for intra-band non-</w:t>
      </w:r>
      <w:r w:rsidR="00CE34DB">
        <w:t>contiguous</w:t>
      </w:r>
      <w:r w:rsidR="00D64724">
        <w:t xml:space="preserve"> </w:t>
      </w:r>
      <w:r w:rsidR="00823510">
        <w:t xml:space="preserve">BC </w:t>
      </w:r>
      <w:r w:rsidR="00D64724">
        <w:t xml:space="preserve">and inter-band </w:t>
      </w:r>
      <w:r w:rsidR="00823510">
        <w:t>BC</w:t>
      </w:r>
      <w:r w:rsidR="00D64724">
        <w:t>, i.e., the FSpCC comes from two different band entries, the BWC of B/C are not applicable.</w:t>
      </w:r>
    </w:p>
    <w:p w14:paraId="08B34BCC" w14:textId="252BD880" w:rsidR="00823510" w:rsidRDefault="00823510" w:rsidP="00790CC9">
      <w:pPr>
        <w:spacing w:beforeLines="50" w:before="120"/>
      </w:pPr>
      <w:r>
        <w:rPr>
          <w:rFonts w:hint="eastAsia"/>
        </w:rPr>
        <w:t>S</w:t>
      </w:r>
      <w:r>
        <w:t>imilarly, another perspective when BWC B/C is reported for intra-band non-</w:t>
      </w:r>
      <w:r w:rsidR="00CE34DB">
        <w:t>contiguous</w:t>
      </w:r>
      <w:r>
        <w:t xml:space="preserve"> BC and inter-band BC, the intention is for network to make use of the 2-CC fallback case of the concerned BC for DAPS handover.</w:t>
      </w:r>
    </w:p>
    <w:p w14:paraId="66D675F8" w14:textId="6AD1B24C" w:rsidR="00D64724" w:rsidRDefault="00D64724" w:rsidP="00D64724">
      <w:pPr>
        <w:pStyle w:val="Proposal"/>
        <w:numPr>
          <w:ilvl w:val="0"/>
          <w:numId w:val="7"/>
        </w:numPr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8" w:name="_Toc95401281"/>
      <w:r>
        <w:rPr>
          <w:rFonts w:hint="eastAsia"/>
        </w:rPr>
        <w:t>R</w:t>
      </w:r>
      <w:r>
        <w:t xml:space="preserve">2 </w:t>
      </w:r>
      <w:r w:rsidR="00DA378F">
        <w:t xml:space="preserve">discuss </w:t>
      </w:r>
      <w:r>
        <w:t xml:space="preserve">that BWC of B/C (and BCS, frequency separation in case of BWC B/C) </w:t>
      </w:r>
      <w:r w:rsidR="00F46B01">
        <w:t>for intra-band non-</w:t>
      </w:r>
      <w:r w:rsidR="00CE34DB">
        <w:t>contiguous</w:t>
      </w:r>
      <w:r w:rsidR="00F46B01">
        <w:t xml:space="preserve"> BC or inter-band BC </w:t>
      </w:r>
      <w:r>
        <w:t xml:space="preserve">are </w:t>
      </w:r>
      <w:r w:rsidR="00DA378F">
        <w:t xml:space="preserve">1) </w:t>
      </w:r>
      <w:r>
        <w:t>not applicable to</w:t>
      </w:r>
      <w:r w:rsidR="00FB3987" w:rsidRPr="00FB3987">
        <w:t xml:space="preserve"> </w:t>
      </w:r>
      <w:r w:rsidR="00FB3987">
        <w:t>DAPS FSC for</w:t>
      </w:r>
      <w:r>
        <w:t xml:space="preserve"> </w:t>
      </w:r>
      <w:r w:rsidR="00DA378F">
        <w:t>inter-frequency</w:t>
      </w:r>
      <w:r>
        <w:t xml:space="preserve"> DAPS HO</w:t>
      </w:r>
      <w:r w:rsidR="00DA378F">
        <w:t>, or 2) applicable to DAPS FSC for inter-frequency DAPS based on 2-CC fallback BC</w:t>
      </w:r>
      <w:r>
        <w:t>.</w:t>
      </w:r>
      <w:bookmarkEnd w:id="8"/>
    </w:p>
    <w:p w14:paraId="5D4A6F35" w14:textId="09A9F149" w:rsidR="00D64724" w:rsidRDefault="00D64724" w:rsidP="00790CC9">
      <w:pPr>
        <w:spacing w:beforeLines="50" w:before="120"/>
      </w:pPr>
      <w:r>
        <w:rPr>
          <w:rFonts w:hint="eastAsia"/>
        </w:rPr>
        <w:t>T</w:t>
      </w:r>
      <w:r>
        <w:t xml:space="preserve">he only question left is for intra-band </w:t>
      </w:r>
      <w:r w:rsidR="00CE34DB">
        <w:t>contiguous</w:t>
      </w:r>
      <w:r>
        <w:t xml:space="preserve"> case.</w:t>
      </w:r>
    </w:p>
    <w:p w14:paraId="64449762" w14:textId="52398E17" w:rsidR="00D64724" w:rsidRDefault="00D64724" w:rsidP="00D64724">
      <w:pPr>
        <w:pStyle w:val="af5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Applicability of BWC, BCS and frequency-separation for intra-band </w:t>
      </w:r>
      <w:r w:rsidR="00CE34DB">
        <w:t>contiguous</w:t>
      </w:r>
      <w:r>
        <w:t xml:space="preserve"> </w:t>
      </w:r>
      <w:r w:rsidR="00FB3987">
        <w:t>in case of BWC B/C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2547"/>
        <w:gridCol w:w="2267"/>
        <w:gridCol w:w="2407"/>
        <w:gridCol w:w="2408"/>
      </w:tblGrid>
      <w:tr w:rsidR="00D64724" w14:paraId="731CFE6D" w14:textId="77777777" w:rsidTr="00D64724">
        <w:tc>
          <w:tcPr>
            <w:tcW w:w="2547" w:type="dxa"/>
          </w:tcPr>
          <w:p w14:paraId="6D29405F" w14:textId="77777777" w:rsidR="00D64724" w:rsidRDefault="00D64724" w:rsidP="00D64724">
            <w:pPr>
              <w:spacing w:after="0"/>
            </w:pPr>
          </w:p>
        </w:tc>
        <w:tc>
          <w:tcPr>
            <w:tcW w:w="2267" w:type="dxa"/>
          </w:tcPr>
          <w:p w14:paraId="62976B7B" w14:textId="1320734C" w:rsidR="00D64724" w:rsidRDefault="00D64724" w:rsidP="00D64724">
            <w:pPr>
              <w:spacing w:after="0"/>
            </w:pPr>
            <w:r>
              <w:rPr>
                <w:rFonts w:hint="eastAsia"/>
              </w:rPr>
              <w:t>B</w:t>
            </w:r>
            <w:r>
              <w:t>WC</w:t>
            </w:r>
          </w:p>
        </w:tc>
        <w:tc>
          <w:tcPr>
            <w:tcW w:w="2407" w:type="dxa"/>
          </w:tcPr>
          <w:p w14:paraId="660327F8" w14:textId="56415D3A" w:rsidR="00D64724" w:rsidRDefault="00D64724" w:rsidP="00D64724">
            <w:pPr>
              <w:spacing w:after="0"/>
            </w:pPr>
            <w:r>
              <w:rPr>
                <w:rFonts w:hint="eastAsia"/>
              </w:rPr>
              <w:t>B</w:t>
            </w:r>
            <w:r>
              <w:t>CS</w:t>
            </w:r>
          </w:p>
        </w:tc>
        <w:tc>
          <w:tcPr>
            <w:tcW w:w="2408" w:type="dxa"/>
          </w:tcPr>
          <w:p w14:paraId="22215094" w14:textId="5D312899" w:rsidR="00D64724" w:rsidRDefault="00D64724" w:rsidP="00D64724">
            <w:pPr>
              <w:spacing w:after="0"/>
            </w:pPr>
            <w:r>
              <w:rPr>
                <w:rFonts w:hint="eastAsia"/>
              </w:rPr>
              <w:t>F</w:t>
            </w:r>
            <w:r>
              <w:t xml:space="preserve">requency </w:t>
            </w:r>
            <w:r w:rsidR="00CE34DB">
              <w:t>Separation</w:t>
            </w:r>
          </w:p>
        </w:tc>
      </w:tr>
      <w:tr w:rsidR="00D64724" w14:paraId="335B7358" w14:textId="77777777" w:rsidTr="00D64724">
        <w:tc>
          <w:tcPr>
            <w:tcW w:w="2547" w:type="dxa"/>
          </w:tcPr>
          <w:p w14:paraId="3A59926F" w14:textId="23A2124F" w:rsidR="00D64724" w:rsidRDefault="00D64724" w:rsidP="00D64724">
            <w:pPr>
              <w:spacing w:after="0"/>
            </w:pPr>
            <w:r>
              <w:t>If applicable</w:t>
            </w:r>
          </w:p>
        </w:tc>
        <w:tc>
          <w:tcPr>
            <w:tcW w:w="2267" w:type="dxa"/>
          </w:tcPr>
          <w:p w14:paraId="58909647" w14:textId="77777777" w:rsidR="00D64724" w:rsidRDefault="00D64724" w:rsidP="00D64724">
            <w:pPr>
              <w:spacing w:after="0"/>
            </w:pPr>
            <w:r>
              <w:t>Applicable to the combination of source / target cell</w:t>
            </w:r>
          </w:p>
          <w:p w14:paraId="23BB4DCA" w14:textId="77777777" w:rsidR="00D64724" w:rsidRDefault="00D64724" w:rsidP="00D64724">
            <w:pPr>
              <w:spacing w:after="0"/>
            </w:pPr>
          </w:p>
          <w:p w14:paraId="19538976" w14:textId="3DE20A8B" w:rsidR="00D64724" w:rsidRDefault="00D64724" w:rsidP="00D64724">
            <w:pPr>
              <w:spacing w:after="0"/>
            </w:pPr>
          </w:p>
        </w:tc>
        <w:tc>
          <w:tcPr>
            <w:tcW w:w="2407" w:type="dxa"/>
          </w:tcPr>
          <w:p w14:paraId="34CD453E" w14:textId="51B7701E" w:rsidR="00D64724" w:rsidRDefault="00D64724" w:rsidP="00D64724">
            <w:pPr>
              <w:spacing w:after="0"/>
            </w:pPr>
            <w:r>
              <w:rPr>
                <w:rFonts w:hint="eastAsia"/>
              </w:rPr>
              <w:t>A</w:t>
            </w:r>
            <w:r>
              <w:t>pplicable to the combination of source / target cell</w:t>
            </w:r>
          </w:p>
        </w:tc>
        <w:tc>
          <w:tcPr>
            <w:tcW w:w="2408" w:type="dxa"/>
          </w:tcPr>
          <w:p w14:paraId="41E6190A" w14:textId="2EE1BAFF" w:rsidR="00D64724" w:rsidRDefault="00D64724" w:rsidP="00D64724">
            <w:pPr>
              <w:spacing w:after="0"/>
            </w:pPr>
            <w:r>
              <w:rPr>
                <w:rFonts w:hint="eastAsia"/>
              </w:rPr>
              <w:t>N</w:t>
            </w:r>
            <w:r>
              <w:t>ot applicable</w:t>
            </w:r>
          </w:p>
        </w:tc>
      </w:tr>
      <w:tr w:rsidR="00D64724" w14:paraId="3F59F3D0" w14:textId="77777777" w:rsidTr="00D64724">
        <w:tc>
          <w:tcPr>
            <w:tcW w:w="2547" w:type="dxa"/>
          </w:tcPr>
          <w:p w14:paraId="5664C139" w14:textId="7A93A893" w:rsidR="00D64724" w:rsidRDefault="00D64724" w:rsidP="00D64724">
            <w:pPr>
              <w:spacing w:after="0"/>
            </w:pPr>
            <w:r>
              <w:t>I</w:t>
            </w:r>
            <w:r>
              <w:rPr>
                <w:rFonts w:hint="eastAsia"/>
              </w:rPr>
              <w:t>f</w:t>
            </w:r>
            <w:r>
              <w:t xml:space="preserve"> not applicable</w:t>
            </w:r>
          </w:p>
        </w:tc>
        <w:tc>
          <w:tcPr>
            <w:tcW w:w="2267" w:type="dxa"/>
          </w:tcPr>
          <w:p w14:paraId="725581C5" w14:textId="2D43EF49" w:rsidR="00D64724" w:rsidRDefault="00D64724" w:rsidP="00D64724">
            <w:pPr>
              <w:spacing w:after="0"/>
            </w:pPr>
            <w:r>
              <w:rPr>
                <w:rFonts w:hint="eastAsia"/>
              </w:rPr>
              <w:t>N</w:t>
            </w:r>
            <w:r>
              <w:t>ot applicable</w:t>
            </w:r>
          </w:p>
        </w:tc>
        <w:tc>
          <w:tcPr>
            <w:tcW w:w="2407" w:type="dxa"/>
          </w:tcPr>
          <w:p w14:paraId="55604924" w14:textId="7473B1AA" w:rsidR="00D64724" w:rsidRDefault="00D64724" w:rsidP="00D64724">
            <w:pPr>
              <w:spacing w:after="0"/>
            </w:pPr>
            <w:r>
              <w:rPr>
                <w:rFonts w:hint="eastAsia"/>
              </w:rPr>
              <w:t>N</w:t>
            </w:r>
            <w:r>
              <w:t>ot applicable</w:t>
            </w:r>
          </w:p>
        </w:tc>
        <w:tc>
          <w:tcPr>
            <w:tcW w:w="2408" w:type="dxa"/>
          </w:tcPr>
          <w:p w14:paraId="69E2DD8A" w14:textId="2E70867E" w:rsidR="00D64724" w:rsidRDefault="00D64724" w:rsidP="00D64724">
            <w:pPr>
              <w:spacing w:after="0"/>
            </w:pPr>
            <w:r>
              <w:rPr>
                <w:rFonts w:hint="eastAsia"/>
              </w:rPr>
              <w:t>N</w:t>
            </w:r>
            <w:r>
              <w:t>ot applicable</w:t>
            </w:r>
          </w:p>
        </w:tc>
      </w:tr>
    </w:tbl>
    <w:p w14:paraId="4BB8DFF3" w14:textId="6B437456" w:rsidR="00D64724" w:rsidRDefault="00D64724" w:rsidP="00790CC9">
      <w:pPr>
        <w:spacing w:beforeLines="50" w:before="120"/>
      </w:pPr>
      <w:r>
        <w:rPr>
          <w:rFonts w:hint="eastAsia"/>
        </w:rPr>
        <w:t>B</w:t>
      </w:r>
      <w:r>
        <w:t>ased on the table above, it can be seen there could be two interpretations, and thus R2 can discuss to down-select between the two.</w:t>
      </w:r>
    </w:p>
    <w:p w14:paraId="61B3B9F7" w14:textId="2C513632" w:rsidR="007F3EC6" w:rsidRPr="007F3EC6" w:rsidRDefault="007F3EC6" w:rsidP="00790CC9">
      <w:pPr>
        <w:spacing w:beforeLines="50" w:before="120"/>
      </w:pPr>
      <w:r>
        <w:rPr>
          <w:rFonts w:hint="eastAsia"/>
        </w:rPr>
        <w:t>B</w:t>
      </w:r>
      <w:r>
        <w:t xml:space="preserve">ased on the </w:t>
      </w:r>
      <w:r w:rsidR="00DE0FA2">
        <w:t>discussion in 116, t</w:t>
      </w:r>
      <w:r>
        <w:t>here seems a preference on the applicability.</w:t>
      </w:r>
    </w:p>
    <w:p w14:paraId="0A66DBBE" w14:textId="16F73AB1" w:rsidR="00FB3987" w:rsidRDefault="00FB3987" w:rsidP="00CE5672">
      <w:pPr>
        <w:pStyle w:val="Proposal"/>
        <w:numPr>
          <w:ilvl w:val="0"/>
          <w:numId w:val="7"/>
        </w:numPr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9" w:name="_Toc95401282"/>
      <w:r>
        <w:rPr>
          <w:rFonts w:hint="eastAsia"/>
        </w:rPr>
        <w:t>R</w:t>
      </w:r>
      <w:r>
        <w:t xml:space="preserve">2 </w:t>
      </w:r>
      <w:r w:rsidR="007F3EC6">
        <w:t xml:space="preserve">clarify </w:t>
      </w:r>
      <w:r>
        <w:t xml:space="preserve">BWC of B/C and BCS in case of BWC B/C </w:t>
      </w:r>
      <w:r w:rsidR="00F46B01">
        <w:t xml:space="preserve">for intra-band </w:t>
      </w:r>
      <w:r w:rsidR="00CE34DB">
        <w:t>contiguous</w:t>
      </w:r>
      <w:r w:rsidR="00F46B01">
        <w:t xml:space="preserve"> BC </w:t>
      </w:r>
      <w:r>
        <w:t xml:space="preserve">is applicable to DAPS FSC for </w:t>
      </w:r>
      <w:r w:rsidR="00DA378F">
        <w:t>inter-frequency</w:t>
      </w:r>
      <w:r>
        <w:t xml:space="preserve"> DAPS HO.</w:t>
      </w:r>
      <w:bookmarkEnd w:id="9"/>
    </w:p>
    <w:p w14:paraId="706B0D65" w14:textId="1F0B4040" w:rsidR="00D64724" w:rsidRDefault="00FB3987" w:rsidP="00790CC9">
      <w:pPr>
        <w:spacing w:beforeLines="50" w:before="120"/>
      </w:pPr>
      <w:r>
        <w:t>Finally, for BWC A, it has been clarified that for FSpCC:s in the same band entry, they are for intra-frequency HO only. For inter-frequency HO (intra-band non-</w:t>
      </w:r>
      <w:r w:rsidR="00CE34DB">
        <w:t>contiguous</w:t>
      </w:r>
      <w:r>
        <w:t xml:space="preserve"> and inter-band), there is the left issue on the applicability of frequency-separation and BCS.</w:t>
      </w:r>
    </w:p>
    <w:p w14:paraId="5EFB6DF4" w14:textId="3388C2BF" w:rsidR="00FB3987" w:rsidRDefault="00FB3987" w:rsidP="00FB3987">
      <w:pPr>
        <w:pStyle w:val="af5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Applicability of BWC, BCS and frequency-separation for intra-band </w:t>
      </w:r>
      <w:r w:rsidR="00CE34DB">
        <w:t>contiguous</w:t>
      </w:r>
      <w:r>
        <w:t xml:space="preserve"> in case of BWC A</w:t>
      </w:r>
    </w:p>
    <w:tbl>
      <w:tblPr>
        <w:tblStyle w:val="afc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2407"/>
        <w:gridCol w:w="2408"/>
      </w:tblGrid>
      <w:tr w:rsidR="00FB3987" w14:paraId="07AAE9A6" w14:textId="77777777" w:rsidTr="00FB3987">
        <w:trPr>
          <w:jc w:val="center"/>
        </w:trPr>
        <w:tc>
          <w:tcPr>
            <w:tcW w:w="2547" w:type="dxa"/>
          </w:tcPr>
          <w:p w14:paraId="6EB61F33" w14:textId="77777777" w:rsidR="00FB3987" w:rsidRDefault="00FB3987" w:rsidP="00912C38">
            <w:pPr>
              <w:spacing w:after="0"/>
            </w:pPr>
          </w:p>
        </w:tc>
        <w:tc>
          <w:tcPr>
            <w:tcW w:w="2407" w:type="dxa"/>
          </w:tcPr>
          <w:p w14:paraId="04D922FF" w14:textId="77777777" w:rsidR="00FB3987" w:rsidRDefault="00FB3987" w:rsidP="00912C38">
            <w:pPr>
              <w:spacing w:after="0"/>
            </w:pPr>
            <w:r>
              <w:rPr>
                <w:rFonts w:hint="eastAsia"/>
              </w:rPr>
              <w:t>B</w:t>
            </w:r>
            <w:r>
              <w:t>CS</w:t>
            </w:r>
          </w:p>
        </w:tc>
        <w:tc>
          <w:tcPr>
            <w:tcW w:w="2408" w:type="dxa"/>
          </w:tcPr>
          <w:p w14:paraId="19205007" w14:textId="4B04BD45" w:rsidR="00FB3987" w:rsidRDefault="00FB3987" w:rsidP="00912C38">
            <w:pPr>
              <w:spacing w:after="0"/>
            </w:pPr>
            <w:r>
              <w:rPr>
                <w:rFonts w:hint="eastAsia"/>
              </w:rPr>
              <w:t>F</w:t>
            </w:r>
            <w:r>
              <w:t xml:space="preserve">requency </w:t>
            </w:r>
            <w:r w:rsidR="00CE34DB">
              <w:t>Separation</w:t>
            </w:r>
          </w:p>
        </w:tc>
      </w:tr>
      <w:tr w:rsidR="00FB3987" w14:paraId="4795CC84" w14:textId="77777777" w:rsidTr="00FB3987">
        <w:trPr>
          <w:jc w:val="center"/>
        </w:trPr>
        <w:tc>
          <w:tcPr>
            <w:tcW w:w="2547" w:type="dxa"/>
          </w:tcPr>
          <w:p w14:paraId="42D23542" w14:textId="77777777" w:rsidR="00FB3987" w:rsidRDefault="00FB3987" w:rsidP="00912C38">
            <w:pPr>
              <w:spacing w:after="0"/>
            </w:pPr>
            <w:r>
              <w:t>If applicable</w:t>
            </w:r>
          </w:p>
        </w:tc>
        <w:tc>
          <w:tcPr>
            <w:tcW w:w="2407" w:type="dxa"/>
          </w:tcPr>
          <w:p w14:paraId="484597A3" w14:textId="77777777" w:rsidR="00FB3987" w:rsidRDefault="00FB3987" w:rsidP="00912C38">
            <w:pPr>
              <w:spacing w:after="0"/>
            </w:pPr>
            <w:r>
              <w:rPr>
                <w:rFonts w:hint="eastAsia"/>
              </w:rPr>
              <w:t>A</w:t>
            </w:r>
            <w:r>
              <w:t>pplicable to the combination of source / target cell</w:t>
            </w:r>
          </w:p>
        </w:tc>
        <w:tc>
          <w:tcPr>
            <w:tcW w:w="2408" w:type="dxa"/>
          </w:tcPr>
          <w:p w14:paraId="30D71D8F" w14:textId="4E30FD1D" w:rsidR="00FB3987" w:rsidRDefault="00FB3987" w:rsidP="00912C38">
            <w:pPr>
              <w:spacing w:after="0"/>
            </w:pPr>
            <w:r>
              <w:t>Applicable to the intra-band non-</w:t>
            </w:r>
            <w:r w:rsidR="00CE34DB">
              <w:t>contiguous</w:t>
            </w:r>
            <w:r>
              <w:t xml:space="preserve"> case</w:t>
            </w:r>
          </w:p>
        </w:tc>
      </w:tr>
      <w:tr w:rsidR="00FB3987" w14:paraId="3CE9B259" w14:textId="77777777" w:rsidTr="00FB3987">
        <w:trPr>
          <w:jc w:val="center"/>
        </w:trPr>
        <w:tc>
          <w:tcPr>
            <w:tcW w:w="2547" w:type="dxa"/>
          </w:tcPr>
          <w:p w14:paraId="58D3CE6D" w14:textId="77777777" w:rsidR="00FB3987" w:rsidRDefault="00FB3987" w:rsidP="00912C38">
            <w:pPr>
              <w:spacing w:after="0"/>
            </w:pPr>
            <w:r>
              <w:t>I</w:t>
            </w:r>
            <w:r>
              <w:rPr>
                <w:rFonts w:hint="eastAsia"/>
              </w:rPr>
              <w:t>f</w:t>
            </w:r>
            <w:r>
              <w:t xml:space="preserve"> not applicable</w:t>
            </w:r>
          </w:p>
        </w:tc>
        <w:tc>
          <w:tcPr>
            <w:tcW w:w="2407" w:type="dxa"/>
          </w:tcPr>
          <w:p w14:paraId="19B843FE" w14:textId="77777777" w:rsidR="00FB3987" w:rsidRDefault="00FB3987" w:rsidP="00912C38">
            <w:pPr>
              <w:spacing w:after="0"/>
            </w:pPr>
            <w:r>
              <w:rPr>
                <w:rFonts w:hint="eastAsia"/>
              </w:rPr>
              <w:t>N</w:t>
            </w:r>
            <w:r>
              <w:t>ot applicable</w:t>
            </w:r>
          </w:p>
        </w:tc>
        <w:tc>
          <w:tcPr>
            <w:tcW w:w="2408" w:type="dxa"/>
          </w:tcPr>
          <w:p w14:paraId="4D151594" w14:textId="77777777" w:rsidR="00FB3987" w:rsidRDefault="00FB3987" w:rsidP="00912C38">
            <w:pPr>
              <w:spacing w:after="0"/>
            </w:pPr>
            <w:r>
              <w:rPr>
                <w:rFonts w:hint="eastAsia"/>
              </w:rPr>
              <w:t>N</w:t>
            </w:r>
            <w:r>
              <w:t>ot applicable</w:t>
            </w:r>
          </w:p>
        </w:tc>
      </w:tr>
    </w:tbl>
    <w:p w14:paraId="6B953137" w14:textId="4039B67B" w:rsidR="00DE0FA2" w:rsidRPr="00DE0FA2" w:rsidRDefault="00DE0FA2" w:rsidP="00CE34DB">
      <w:pPr>
        <w:spacing w:beforeLines="50" w:before="120"/>
      </w:pPr>
      <w:r>
        <w:rPr>
          <w:rFonts w:hint="eastAsia"/>
        </w:rPr>
        <w:t>B</w:t>
      </w:r>
      <w:r>
        <w:t>ased on the discussion in 116, there seems a preference on the applicability.</w:t>
      </w:r>
    </w:p>
    <w:p w14:paraId="1F293D94" w14:textId="403307C6" w:rsidR="00FB3987" w:rsidRDefault="00FB3987" w:rsidP="00FB3987">
      <w:pPr>
        <w:pStyle w:val="Proposal"/>
        <w:numPr>
          <w:ilvl w:val="0"/>
          <w:numId w:val="7"/>
        </w:numPr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10" w:name="_Toc95401283"/>
      <w:r>
        <w:rPr>
          <w:rFonts w:hint="eastAsia"/>
        </w:rPr>
        <w:t>R</w:t>
      </w:r>
      <w:r>
        <w:t xml:space="preserve">2 </w:t>
      </w:r>
      <w:r w:rsidR="00DE0FA2">
        <w:t xml:space="preserve">clarify </w:t>
      </w:r>
      <w:r>
        <w:t>for intra-band non-</w:t>
      </w:r>
      <w:r w:rsidR="00CE34DB">
        <w:t>contiguous</w:t>
      </w:r>
      <w:r>
        <w:t xml:space="preserve"> </w:t>
      </w:r>
      <w:r w:rsidR="00DA378F">
        <w:t xml:space="preserve">BC </w:t>
      </w:r>
      <w:r w:rsidR="007F3EC6">
        <w:t xml:space="preserve">and inter-band BC </w:t>
      </w:r>
      <w:r w:rsidR="00DA378F">
        <w:t>limited to</w:t>
      </w:r>
      <w:r>
        <w:t xml:space="preserve"> BWC A, frequency separation </w:t>
      </w:r>
      <w:r w:rsidR="007F3EC6">
        <w:t>(only valid for intra-band non-</w:t>
      </w:r>
      <w:r w:rsidR="00CE34DB">
        <w:t>contiguous</w:t>
      </w:r>
      <w:r w:rsidR="007F3EC6">
        <w:t xml:space="preserve"> BC) </w:t>
      </w:r>
      <w:r>
        <w:t xml:space="preserve">and BCS </w:t>
      </w:r>
      <w:r w:rsidR="00DA378F">
        <w:t xml:space="preserve">is applicable to </w:t>
      </w:r>
      <w:r w:rsidR="00DE0FA2">
        <w:t xml:space="preserve">DAPS FSC for </w:t>
      </w:r>
      <w:r w:rsidR="00DA378F">
        <w:t>inter-frequency DAPS HO</w:t>
      </w:r>
      <w:r>
        <w:t>.</w:t>
      </w:r>
      <w:bookmarkEnd w:id="10"/>
    </w:p>
    <w:p w14:paraId="0C6C04A5" w14:textId="2C91DB9A" w:rsidR="00E44203" w:rsidRPr="00784EBA" w:rsidRDefault="00E44203" w:rsidP="00784EBA"/>
    <w:p w14:paraId="121B23D8" w14:textId="77777777" w:rsidR="00D0573B" w:rsidRDefault="00D0573B">
      <w:pPr>
        <w:pStyle w:val="1"/>
      </w:pPr>
      <w:r>
        <w:t>Conclusion</w:t>
      </w:r>
    </w:p>
    <w:p w14:paraId="363AC2BA" w14:textId="293756F6" w:rsidR="00D0573B" w:rsidRDefault="00D0573B">
      <w:r>
        <w:t>We have the following proposals:</w:t>
      </w:r>
    </w:p>
    <w:p w14:paraId="59A6AE38" w14:textId="55BB7388" w:rsidR="00CE34DB" w:rsidRDefault="00D0573B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lastRenderedPageBreak/>
        <w:fldChar w:fldCharType="begin"/>
      </w:r>
      <w:r>
        <w:instrText xml:space="preserve"> TOC \n \h \z \t "Proposal,1" </w:instrText>
      </w:r>
      <w:r>
        <w:fldChar w:fldCharType="separate"/>
      </w:r>
      <w:hyperlink w:anchor="_Toc95401280" w:history="1">
        <w:r w:rsidR="00CE34DB" w:rsidRPr="005F10A9">
          <w:rPr>
            <w:rStyle w:val="a5"/>
            <w:noProof/>
          </w:rPr>
          <w:t>Proposal 1</w:t>
        </w:r>
        <w:r w:rsidR="00CE34DB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CE34DB" w:rsidRPr="005F10A9">
          <w:rPr>
            <w:rStyle w:val="a5"/>
            <w:noProof/>
          </w:rPr>
          <w:t>R2 discuss that BWC of D/E and above (and BCS, frequency separation in case of BWC D/E and above) are 1) not applicable to DAPS FSC for inter-frequency DAPS, or 2) applicable to DAPS FSC for inter-frequency DAPS based on 2-CC fallback BC.</w:t>
        </w:r>
      </w:hyperlink>
    </w:p>
    <w:p w14:paraId="6A76730E" w14:textId="69FE4E84" w:rsidR="00CE34DB" w:rsidRDefault="00CE34DB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95401281" w:history="1">
        <w:r w:rsidRPr="005F10A9">
          <w:rPr>
            <w:rStyle w:val="a5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5F10A9">
          <w:rPr>
            <w:rStyle w:val="a5"/>
            <w:noProof/>
          </w:rPr>
          <w:t>R2 discuss that BWC of B/C (and BCS, frequency separation in case of BWC B/C) for intra-band non-continguous BC or inter-band BC are 1) not applicable to DAPS FSC for inter-frequency DAPS HO, or 2) applicable to DAPS FSC for inter-frequency DAPS based on 2-CC fallback BC.</w:t>
        </w:r>
      </w:hyperlink>
    </w:p>
    <w:p w14:paraId="5D28E2AF" w14:textId="7C770703" w:rsidR="00CE34DB" w:rsidRDefault="00CE34DB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95401282" w:history="1">
        <w:r w:rsidRPr="005F10A9">
          <w:rPr>
            <w:rStyle w:val="a5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5F10A9">
          <w:rPr>
            <w:rStyle w:val="a5"/>
            <w:noProof/>
          </w:rPr>
          <w:t>R2 clarify BWC of B/C and BCS in case of BWC B/C for intra-band continguous BC is applicable to DAPS FSC for inter-frequency DAPS HO.</w:t>
        </w:r>
      </w:hyperlink>
    </w:p>
    <w:p w14:paraId="048D446C" w14:textId="40675819" w:rsidR="00CE34DB" w:rsidRDefault="00CE34DB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95401283" w:history="1">
        <w:r w:rsidRPr="005F10A9">
          <w:rPr>
            <w:rStyle w:val="a5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5F10A9">
          <w:rPr>
            <w:rStyle w:val="a5"/>
            <w:noProof/>
          </w:rPr>
          <w:t>R2 clarify for intra-band non-continguous BC and inter-band BC limited to BWC A, frequency separation (only valid for intra-band non-continguous BC) and BCS is applicable to DAPS FSC for inter-frequency DAPS HO.</w:t>
        </w:r>
      </w:hyperlink>
    </w:p>
    <w:p w14:paraId="3BAB227A" w14:textId="3B377595" w:rsidR="00D0573B" w:rsidRDefault="00D0573B">
      <w:r>
        <w:fldChar w:fldCharType="end"/>
      </w:r>
    </w:p>
    <w:p w14:paraId="2F566ED3" w14:textId="77777777" w:rsidR="00D0573B" w:rsidRDefault="00D0573B">
      <w:pPr>
        <w:rPr>
          <w:b/>
          <w:bCs/>
        </w:rPr>
      </w:pPr>
    </w:p>
    <w:p w14:paraId="21E65997" w14:textId="77777777" w:rsidR="00D0573B" w:rsidRDefault="00D0573B">
      <w:pPr>
        <w:pStyle w:val="1"/>
      </w:pPr>
      <w:bookmarkStart w:id="11" w:name="_In-sequence_SDU_delivery"/>
      <w:bookmarkStart w:id="12" w:name="_Ref189809556"/>
      <w:bookmarkStart w:id="13" w:name="_Ref174151459"/>
      <w:bookmarkStart w:id="14" w:name="_Ref450865335"/>
      <w:bookmarkEnd w:id="11"/>
      <w:r>
        <w:rPr>
          <w:rFonts w:hint="eastAsia"/>
        </w:rPr>
        <w:t>Reference</w:t>
      </w:r>
      <w:bookmarkEnd w:id="12"/>
      <w:bookmarkEnd w:id="13"/>
      <w:bookmarkEnd w:id="14"/>
    </w:p>
    <w:p w14:paraId="1D07AD88" w14:textId="205A8813" w:rsidR="00D0573B" w:rsidRPr="0031775B" w:rsidRDefault="00B315AF" w:rsidP="00B315AF">
      <w:pPr>
        <w:pStyle w:val="af7"/>
        <w:numPr>
          <w:ilvl w:val="0"/>
          <w:numId w:val="25"/>
        </w:numPr>
        <w:rPr>
          <w:lang w:val="en-US"/>
        </w:rPr>
      </w:pPr>
      <w:r w:rsidRPr="00B315AF">
        <w:rPr>
          <w:lang w:val="en-US"/>
        </w:rPr>
        <w:t>R2-2109395</w:t>
      </w:r>
      <w:r w:rsidRPr="00B315AF">
        <w:rPr>
          <w:lang w:val="en-US"/>
        </w:rPr>
        <w:tab/>
        <w:t>Discussion on capability for DAPS</w:t>
      </w:r>
      <w:r w:rsidRPr="00B315AF">
        <w:rPr>
          <w:lang w:val="en-US"/>
        </w:rPr>
        <w:tab/>
        <w:t>OPPO</w:t>
      </w:r>
      <w:r w:rsidRPr="00B315AF">
        <w:rPr>
          <w:lang w:val="en-US"/>
        </w:rPr>
        <w:tab/>
        <w:t>discussion</w:t>
      </w:r>
      <w:r w:rsidRPr="00B315AF">
        <w:rPr>
          <w:lang w:val="en-US"/>
        </w:rPr>
        <w:tab/>
        <w:t>Rel-16</w:t>
      </w:r>
      <w:r w:rsidRPr="00B315AF">
        <w:rPr>
          <w:lang w:val="en-US"/>
        </w:rPr>
        <w:tab/>
        <w:t>NR_Mob_enh-Core</w:t>
      </w:r>
    </w:p>
    <w:sectPr w:rsidR="00D0573B" w:rsidRPr="0031775B">
      <w:foot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A6DC84" w14:textId="77777777" w:rsidR="0068473C" w:rsidRDefault="0068473C">
      <w:pPr>
        <w:spacing w:after="0"/>
      </w:pPr>
      <w:r>
        <w:separator/>
      </w:r>
    </w:p>
  </w:endnote>
  <w:endnote w:type="continuationSeparator" w:id="0">
    <w:p w14:paraId="2ABF11E5" w14:textId="77777777" w:rsidR="0068473C" w:rsidRDefault="006847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A0883" w14:textId="77777777" w:rsidR="00F526F4" w:rsidRDefault="00F526F4">
    <w:pPr>
      <w:pStyle w:val="aa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6"/>
      </w:rPr>
      <w:instrText xml:space="preserve"> PAGE </w:instrText>
    </w:r>
    <w:r>
      <w:fldChar w:fldCharType="separate"/>
    </w:r>
    <w:r>
      <w:rPr>
        <w:rStyle w:val="a6"/>
        <w:noProof/>
      </w:rPr>
      <w:t>3</w:t>
    </w:r>
    <w:r>
      <w:fldChar w:fldCharType="end"/>
    </w:r>
    <w:r>
      <w:rPr>
        <w:rStyle w:val="a6"/>
      </w:rPr>
      <w:t>/</w:t>
    </w:r>
    <w:r>
      <w:fldChar w:fldCharType="begin"/>
    </w:r>
    <w:r>
      <w:rPr>
        <w:rStyle w:val="a6"/>
      </w:rPr>
      <w:instrText xml:space="preserve"> NUMPAGES </w:instrText>
    </w:r>
    <w:r>
      <w:fldChar w:fldCharType="separate"/>
    </w:r>
    <w:r>
      <w:rPr>
        <w:rStyle w:val="a6"/>
        <w:noProof/>
      </w:rPr>
      <w:t>11</w:t>
    </w:r>
    <w: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8EB2E5" w14:textId="77777777" w:rsidR="0068473C" w:rsidRDefault="0068473C">
      <w:pPr>
        <w:spacing w:after="0"/>
      </w:pPr>
      <w:r>
        <w:separator/>
      </w:r>
    </w:p>
  </w:footnote>
  <w:footnote w:type="continuationSeparator" w:id="0">
    <w:p w14:paraId="405DD245" w14:textId="77777777" w:rsidR="0068473C" w:rsidRDefault="0068473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ED94725"/>
    <w:multiLevelType w:val="hybridMultilevel"/>
    <w:tmpl w:val="3D3C755E"/>
    <w:lvl w:ilvl="0" w:tplc="2E2A475E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9551FB"/>
    <w:multiLevelType w:val="hybridMultilevel"/>
    <w:tmpl w:val="C03AE520"/>
    <w:lvl w:ilvl="0" w:tplc="BFB8A0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4912642"/>
    <w:multiLevelType w:val="hybridMultilevel"/>
    <w:tmpl w:val="EE28135E"/>
    <w:lvl w:ilvl="0" w:tplc="11FC5B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7A83436"/>
    <w:multiLevelType w:val="hybridMultilevel"/>
    <w:tmpl w:val="5810AF8C"/>
    <w:lvl w:ilvl="0" w:tplc="6AA81E08">
      <w:start w:val="3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D2E22"/>
    <w:multiLevelType w:val="hybridMultilevel"/>
    <w:tmpl w:val="E876A5FE"/>
    <w:lvl w:ilvl="0" w:tplc="0EA06C8E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multilevel"/>
    <w:tmpl w:val="95CE86E2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0659AC"/>
    <w:multiLevelType w:val="hybridMultilevel"/>
    <w:tmpl w:val="DB44614E"/>
    <w:lvl w:ilvl="0" w:tplc="DA3CEC68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98E238D"/>
    <w:multiLevelType w:val="hybridMultilevel"/>
    <w:tmpl w:val="05C0DDB4"/>
    <w:lvl w:ilvl="0" w:tplc="59D22BA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256764"/>
    <w:multiLevelType w:val="hybridMultilevel"/>
    <w:tmpl w:val="EC8420E0"/>
    <w:lvl w:ilvl="0" w:tplc="D7C655C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B157EF"/>
    <w:multiLevelType w:val="hybridMultilevel"/>
    <w:tmpl w:val="65AAC7AE"/>
    <w:lvl w:ilvl="0" w:tplc="203855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8C1987"/>
    <w:multiLevelType w:val="hybridMultilevel"/>
    <w:tmpl w:val="A62A0E14"/>
    <w:lvl w:ilvl="0" w:tplc="604E243E">
      <w:start w:val="1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6"/>
  </w:num>
  <w:num w:numId="4">
    <w:abstractNumId w:val="10"/>
  </w:num>
  <w:num w:numId="5">
    <w:abstractNumId w:val="5"/>
  </w:num>
  <w:num w:numId="6">
    <w:abstractNumId w:val="9"/>
  </w:num>
  <w:num w:numId="7">
    <w:abstractNumId w:val="8"/>
  </w:num>
  <w:num w:numId="8">
    <w:abstractNumId w:val="14"/>
  </w:num>
  <w:num w:numId="9">
    <w:abstractNumId w:val="23"/>
  </w:num>
  <w:num w:numId="10">
    <w:abstractNumId w:val="15"/>
  </w:num>
  <w:num w:numId="11">
    <w:abstractNumId w:val="22"/>
  </w:num>
  <w:num w:numId="12">
    <w:abstractNumId w:val="13"/>
  </w:num>
  <w:num w:numId="13">
    <w:abstractNumId w:val="19"/>
  </w:num>
  <w:num w:numId="14">
    <w:abstractNumId w:val="20"/>
  </w:num>
  <w:num w:numId="15">
    <w:abstractNumId w:val="4"/>
  </w:num>
  <w:num w:numId="16">
    <w:abstractNumId w:val="16"/>
  </w:num>
  <w:num w:numId="17">
    <w:abstractNumId w:val="0"/>
  </w:num>
  <w:num w:numId="18">
    <w:abstractNumId w:val="0"/>
  </w:num>
  <w:num w:numId="19">
    <w:abstractNumId w:val="21"/>
  </w:num>
  <w:num w:numId="20">
    <w:abstractNumId w:val="11"/>
  </w:num>
  <w:num w:numId="21">
    <w:abstractNumId w:val="0"/>
  </w:num>
  <w:num w:numId="22">
    <w:abstractNumId w:val="0"/>
  </w:num>
  <w:num w:numId="23">
    <w:abstractNumId w:val="0"/>
  </w:num>
  <w:num w:numId="24">
    <w:abstractNumId w:val="1"/>
  </w:num>
  <w:num w:numId="25">
    <w:abstractNumId w:val="12"/>
  </w:num>
  <w:num w:numId="26">
    <w:abstractNumId w:val="0"/>
  </w:num>
  <w:num w:numId="27">
    <w:abstractNumId w:val="0"/>
  </w:num>
  <w:num w:numId="28">
    <w:abstractNumId w:val="0"/>
  </w:num>
  <w:num w:numId="29">
    <w:abstractNumId w:val="7"/>
  </w:num>
  <w:num w:numId="30">
    <w:abstractNumId w:val="0"/>
  </w:num>
  <w:num w:numId="31">
    <w:abstractNumId w:val="2"/>
  </w:num>
  <w:num w:numId="32">
    <w:abstractNumId w:val="18"/>
  </w:num>
  <w:num w:numId="33">
    <w:abstractNumId w:val="20"/>
  </w:num>
  <w:num w:numId="34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hideSpellingErrors/>
  <w:hideGrammaticalErrors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qsFAClznn8tAAAA"/>
  </w:docVars>
  <w:rsids>
    <w:rsidRoot w:val="002804D3"/>
    <w:rsid w:val="000006E1"/>
    <w:rsid w:val="00000EBA"/>
    <w:rsid w:val="000013AA"/>
    <w:rsid w:val="00001757"/>
    <w:rsid w:val="00001D15"/>
    <w:rsid w:val="00002230"/>
    <w:rsid w:val="00002A37"/>
    <w:rsid w:val="00002F51"/>
    <w:rsid w:val="000046E3"/>
    <w:rsid w:val="00004B2A"/>
    <w:rsid w:val="00006446"/>
    <w:rsid w:val="00006896"/>
    <w:rsid w:val="00007098"/>
    <w:rsid w:val="000070C5"/>
    <w:rsid w:val="0000774E"/>
    <w:rsid w:val="00007780"/>
    <w:rsid w:val="000078C0"/>
    <w:rsid w:val="00007C6C"/>
    <w:rsid w:val="00007CDC"/>
    <w:rsid w:val="000109FA"/>
    <w:rsid w:val="00011B28"/>
    <w:rsid w:val="00012CD6"/>
    <w:rsid w:val="000149CA"/>
    <w:rsid w:val="00014D3C"/>
    <w:rsid w:val="0001576E"/>
    <w:rsid w:val="00015D15"/>
    <w:rsid w:val="00015E77"/>
    <w:rsid w:val="000203DC"/>
    <w:rsid w:val="0002068F"/>
    <w:rsid w:val="00021D50"/>
    <w:rsid w:val="000223D9"/>
    <w:rsid w:val="00023231"/>
    <w:rsid w:val="00024B4B"/>
    <w:rsid w:val="0002564D"/>
    <w:rsid w:val="00025BEC"/>
    <w:rsid w:val="00025ECA"/>
    <w:rsid w:val="00027020"/>
    <w:rsid w:val="000325B8"/>
    <w:rsid w:val="00032EFB"/>
    <w:rsid w:val="000344AF"/>
    <w:rsid w:val="00034C15"/>
    <w:rsid w:val="000363CA"/>
    <w:rsid w:val="00036647"/>
    <w:rsid w:val="0003688D"/>
    <w:rsid w:val="00036BA1"/>
    <w:rsid w:val="00037349"/>
    <w:rsid w:val="000400F8"/>
    <w:rsid w:val="000402F5"/>
    <w:rsid w:val="00040963"/>
    <w:rsid w:val="000422E2"/>
    <w:rsid w:val="00042F22"/>
    <w:rsid w:val="00043A3D"/>
    <w:rsid w:val="0004413E"/>
    <w:rsid w:val="000444EF"/>
    <w:rsid w:val="00045A25"/>
    <w:rsid w:val="000460BB"/>
    <w:rsid w:val="00046743"/>
    <w:rsid w:val="0005140D"/>
    <w:rsid w:val="00052A07"/>
    <w:rsid w:val="000534E3"/>
    <w:rsid w:val="00054D4A"/>
    <w:rsid w:val="000559BF"/>
    <w:rsid w:val="00055F19"/>
    <w:rsid w:val="0005606A"/>
    <w:rsid w:val="00056185"/>
    <w:rsid w:val="00056748"/>
    <w:rsid w:val="00057117"/>
    <w:rsid w:val="000571DA"/>
    <w:rsid w:val="000575E5"/>
    <w:rsid w:val="000577B9"/>
    <w:rsid w:val="00060EC2"/>
    <w:rsid w:val="000616E7"/>
    <w:rsid w:val="000627FF"/>
    <w:rsid w:val="00062B6B"/>
    <w:rsid w:val="00062FFB"/>
    <w:rsid w:val="000632A0"/>
    <w:rsid w:val="00063B59"/>
    <w:rsid w:val="0006402A"/>
    <w:rsid w:val="0006487E"/>
    <w:rsid w:val="00065E1A"/>
    <w:rsid w:val="000713F8"/>
    <w:rsid w:val="00071811"/>
    <w:rsid w:val="00072DF8"/>
    <w:rsid w:val="000738F4"/>
    <w:rsid w:val="00073DFC"/>
    <w:rsid w:val="0007444F"/>
    <w:rsid w:val="0007620B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343F"/>
    <w:rsid w:val="00093474"/>
    <w:rsid w:val="000934A5"/>
    <w:rsid w:val="000944CB"/>
    <w:rsid w:val="00094510"/>
    <w:rsid w:val="00094586"/>
    <w:rsid w:val="0009493B"/>
    <w:rsid w:val="00094D0E"/>
    <w:rsid w:val="0009510F"/>
    <w:rsid w:val="00096FB6"/>
    <w:rsid w:val="000A0F3C"/>
    <w:rsid w:val="000A1B7B"/>
    <w:rsid w:val="000A2482"/>
    <w:rsid w:val="000A2A75"/>
    <w:rsid w:val="000A325B"/>
    <w:rsid w:val="000A3539"/>
    <w:rsid w:val="000A3D85"/>
    <w:rsid w:val="000A488C"/>
    <w:rsid w:val="000A56F2"/>
    <w:rsid w:val="000A69D3"/>
    <w:rsid w:val="000A712A"/>
    <w:rsid w:val="000B190F"/>
    <w:rsid w:val="000B1999"/>
    <w:rsid w:val="000B1E14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B9"/>
    <w:rsid w:val="000B4E5C"/>
    <w:rsid w:val="000B4ECB"/>
    <w:rsid w:val="000B58C3"/>
    <w:rsid w:val="000B61E9"/>
    <w:rsid w:val="000B70FB"/>
    <w:rsid w:val="000C0DA8"/>
    <w:rsid w:val="000C165A"/>
    <w:rsid w:val="000C233B"/>
    <w:rsid w:val="000C2673"/>
    <w:rsid w:val="000C2E19"/>
    <w:rsid w:val="000C30DE"/>
    <w:rsid w:val="000C375C"/>
    <w:rsid w:val="000C3BA5"/>
    <w:rsid w:val="000C3E52"/>
    <w:rsid w:val="000C54F2"/>
    <w:rsid w:val="000C57E5"/>
    <w:rsid w:val="000C66FC"/>
    <w:rsid w:val="000C7506"/>
    <w:rsid w:val="000D0D07"/>
    <w:rsid w:val="000D2904"/>
    <w:rsid w:val="000D2D12"/>
    <w:rsid w:val="000D316B"/>
    <w:rsid w:val="000D3FD1"/>
    <w:rsid w:val="000D4797"/>
    <w:rsid w:val="000D4BD7"/>
    <w:rsid w:val="000D653E"/>
    <w:rsid w:val="000D67B4"/>
    <w:rsid w:val="000E018D"/>
    <w:rsid w:val="000E0527"/>
    <w:rsid w:val="000E1CC0"/>
    <w:rsid w:val="000E1E92"/>
    <w:rsid w:val="000E2210"/>
    <w:rsid w:val="000E333E"/>
    <w:rsid w:val="000E38A5"/>
    <w:rsid w:val="000E4DDF"/>
    <w:rsid w:val="000E5D4A"/>
    <w:rsid w:val="000E69F5"/>
    <w:rsid w:val="000E6AED"/>
    <w:rsid w:val="000E711D"/>
    <w:rsid w:val="000F06D6"/>
    <w:rsid w:val="000F09D6"/>
    <w:rsid w:val="000F0EB1"/>
    <w:rsid w:val="000F1106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DF3"/>
    <w:rsid w:val="000F7E6B"/>
    <w:rsid w:val="001005FF"/>
    <w:rsid w:val="00100B27"/>
    <w:rsid w:val="00101943"/>
    <w:rsid w:val="0010345F"/>
    <w:rsid w:val="001058EE"/>
    <w:rsid w:val="00105BBC"/>
    <w:rsid w:val="001062FB"/>
    <w:rsid w:val="001063E6"/>
    <w:rsid w:val="00106AAD"/>
    <w:rsid w:val="0011074E"/>
    <w:rsid w:val="001110A6"/>
    <w:rsid w:val="00112487"/>
    <w:rsid w:val="001125F7"/>
    <w:rsid w:val="001126EF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7360"/>
    <w:rsid w:val="0012778D"/>
    <w:rsid w:val="0013056A"/>
    <w:rsid w:val="0013067A"/>
    <w:rsid w:val="00131A27"/>
    <w:rsid w:val="00132252"/>
    <w:rsid w:val="0013285C"/>
    <w:rsid w:val="00132FD0"/>
    <w:rsid w:val="00133D6B"/>
    <w:rsid w:val="001344C0"/>
    <w:rsid w:val="001346FA"/>
    <w:rsid w:val="00135252"/>
    <w:rsid w:val="00135EB7"/>
    <w:rsid w:val="001369A4"/>
    <w:rsid w:val="00136B2C"/>
    <w:rsid w:val="00137AB5"/>
    <w:rsid w:val="00137CDC"/>
    <w:rsid w:val="00137F0B"/>
    <w:rsid w:val="001400FF"/>
    <w:rsid w:val="00141A2F"/>
    <w:rsid w:val="0014377A"/>
    <w:rsid w:val="00143783"/>
    <w:rsid w:val="00144A42"/>
    <w:rsid w:val="00146774"/>
    <w:rsid w:val="00146865"/>
    <w:rsid w:val="00146960"/>
    <w:rsid w:val="001469D0"/>
    <w:rsid w:val="001475B7"/>
    <w:rsid w:val="00147C23"/>
    <w:rsid w:val="00147F0C"/>
    <w:rsid w:val="00150427"/>
    <w:rsid w:val="00150AB2"/>
    <w:rsid w:val="00151CF8"/>
    <w:rsid w:val="00151E23"/>
    <w:rsid w:val="0015219A"/>
    <w:rsid w:val="001526E0"/>
    <w:rsid w:val="001542F7"/>
    <w:rsid w:val="0015514C"/>
    <w:rsid w:val="001551B5"/>
    <w:rsid w:val="00155C52"/>
    <w:rsid w:val="00155D49"/>
    <w:rsid w:val="00156930"/>
    <w:rsid w:val="001605D8"/>
    <w:rsid w:val="00163066"/>
    <w:rsid w:val="00164B62"/>
    <w:rsid w:val="00165545"/>
    <w:rsid w:val="001659C1"/>
    <w:rsid w:val="00166588"/>
    <w:rsid w:val="00166BB5"/>
    <w:rsid w:val="0016782D"/>
    <w:rsid w:val="00170294"/>
    <w:rsid w:val="001710FA"/>
    <w:rsid w:val="001719C5"/>
    <w:rsid w:val="00171F8B"/>
    <w:rsid w:val="001720BD"/>
    <w:rsid w:val="00172C64"/>
    <w:rsid w:val="001732EC"/>
    <w:rsid w:val="00173A8E"/>
    <w:rsid w:val="00173DB1"/>
    <w:rsid w:val="00175CE6"/>
    <w:rsid w:val="00176A65"/>
    <w:rsid w:val="001772CC"/>
    <w:rsid w:val="00177FA2"/>
    <w:rsid w:val="00180120"/>
    <w:rsid w:val="0018143F"/>
    <w:rsid w:val="00182AC3"/>
    <w:rsid w:val="00183C22"/>
    <w:rsid w:val="00184F28"/>
    <w:rsid w:val="00185040"/>
    <w:rsid w:val="001879F0"/>
    <w:rsid w:val="00190AC1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60B4"/>
    <w:rsid w:val="0019763C"/>
    <w:rsid w:val="00197DF9"/>
    <w:rsid w:val="00197E05"/>
    <w:rsid w:val="001A0948"/>
    <w:rsid w:val="001A13A5"/>
    <w:rsid w:val="001A14AB"/>
    <w:rsid w:val="001A17DA"/>
    <w:rsid w:val="001A1987"/>
    <w:rsid w:val="001A2489"/>
    <w:rsid w:val="001A2564"/>
    <w:rsid w:val="001A5476"/>
    <w:rsid w:val="001A5E26"/>
    <w:rsid w:val="001A6173"/>
    <w:rsid w:val="001A622D"/>
    <w:rsid w:val="001A6CBA"/>
    <w:rsid w:val="001B05F9"/>
    <w:rsid w:val="001B0B6C"/>
    <w:rsid w:val="001B0D97"/>
    <w:rsid w:val="001B0F91"/>
    <w:rsid w:val="001B1808"/>
    <w:rsid w:val="001B265B"/>
    <w:rsid w:val="001B3887"/>
    <w:rsid w:val="001B42D4"/>
    <w:rsid w:val="001B4EA3"/>
    <w:rsid w:val="001B58B3"/>
    <w:rsid w:val="001B5A5D"/>
    <w:rsid w:val="001B6D62"/>
    <w:rsid w:val="001B7284"/>
    <w:rsid w:val="001C0E23"/>
    <w:rsid w:val="001C129A"/>
    <w:rsid w:val="001C1CE5"/>
    <w:rsid w:val="001C2DC5"/>
    <w:rsid w:val="001C3090"/>
    <w:rsid w:val="001C3832"/>
    <w:rsid w:val="001C3D2A"/>
    <w:rsid w:val="001C3F1A"/>
    <w:rsid w:val="001C7541"/>
    <w:rsid w:val="001C77B8"/>
    <w:rsid w:val="001D0BDB"/>
    <w:rsid w:val="001D179D"/>
    <w:rsid w:val="001D214F"/>
    <w:rsid w:val="001D2810"/>
    <w:rsid w:val="001D41D9"/>
    <w:rsid w:val="001D41DC"/>
    <w:rsid w:val="001D44CA"/>
    <w:rsid w:val="001D45AE"/>
    <w:rsid w:val="001D4A27"/>
    <w:rsid w:val="001D51BA"/>
    <w:rsid w:val="001D5365"/>
    <w:rsid w:val="001D6342"/>
    <w:rsid w:val="001D6D53"/>
    <w:rsid w:val="001E1805"/>
    <w:rsid w:val="001E283B"/>
    <w:rsid w:val="001E4A3A"/>
    <w:rsid w:val="001E4AA5"/>
    <w:rsid w:val="001E58E2"/>
    <w:rsid w:val="001E7AED"/>
    <w:rsid w:val="001F0CCF"/>
    <w:rsid w:val="001F3916"/>
    <w:rsid w:val="001F3DC2"/>
    <w:rsid w:val="001F54C5"/>
    <w:rsid w:val="001F6031"/>
    <w:rsid w:val="001F6452"/>
    <w:rsid w:val="001F6563"/>
    <w:rsid w:val="001F662C"/>
    <w:rsid w:val="001F7074"/>
    <w:rsid w:val="001F780C"/>
    <w:rsid w:val="001F7A7C"/>
    <w:rsid w:val="00200490"/>
    <w:rsid w:val="00200F95"/>
    <w:rsid w:val="00201F3A"/>
    <w:rsid w:val="00202441"/>
    <w:rsid w:val="00202E05"/>
    <w:rsid w:val="00203F96"/>
    <w:rsid w:val="00204165"/>
    <w:rsid w:val="00205303"/>
    <w:rsid w:val="00205D63"/>
    <w:rsid w:val="002069B2"/>
    <w:rsid w:val="00206ED6"/>
    <w:rsid w:val="00207FA3"/>
    <w:rsid w:val="00210A01"/>
    <w:rsid w:val="00210F3F"/>
    <w:rsid w:val="00211097"/>
    <w:rsid w:val="00211D0D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36D"/>
    <w:rsid w:val="00224A63"/>
    <w:rsid w:val="00224BE7"/>
    <w:rsid w:val="002252C3"/>
    <w:rsid w:val="002255C5"/>
    <w:rsid w:val="00225C54"/>
    <w:rsid w:val="00226B21"/>
    <w:rsid w:val="002274E0"/>
    <w:rsid w:val="002279E7"/>
    <w:rsid w:val="00230765"/>
    <w:rsid w:val="00230899"/>
    <w:rsid w:val="00230E40"/>
    <w:rsid w:val="002317CD"/>
    <w:rsid w:val="002319E4"/>
    <w:rsid w:val="00233154"/>
    <w:rsid w:val="00235632"/>
    <w:rsid w:val="00235872"/>
    <w:rsid w:val="00235978"/>
    <w:rsid w:val="00235E17"/>
    <w:rsid w:val="0023783E"/>
    <w:rsid w:val="002402EB"/>
    <w:rsid w:val="00240B1A"/>
    <w:rsid w:val="00241405"/>
    <w:rsid w:val="0024140E"/>
    <w:rsid w:val="00241559"/>
    <w:rsid w:val="00241F82"/>
    <w:rsid w:val="0024203E"/>
    <w:rsid w:val="002429FA"/>
    <w:rsid w:val="002435B3"/>
    <w:rsid w:val="002458EB"/>
    <w:rsid w:val="002468AB"/>
    <w:rsid w:val="002469A7"/>
    <w:rsid w:val="00250009"/>
    <w:rsid w:val="002500C8"/>
    <w:rsid w:val="0025316F"/>
    <w:rsid w:val="002532D8"/>
    <w:rsid w:val="0025413D"/>
    <w:rsid w:val="00255610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341F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9AD"/>
    <w:rsid w:val="00266EFA"/>
    <w:rsid w:val="00267C83"/>
    <w:rsid w:val="002700A1"/>
    <w:rsid w:val="002713BC"/>
    <w:rsid w:val="0027144F"/>
    <w:rsid w:val="00271813"/>
    <w:rsid w:val="00271BF5"/>
    <w:rsid w:val="00271F3A"/>
    <w:rsid w:val="00271F6C"/>
    <w:rsid w:val="002728CB"/>
    <w:rsid w:val="00272959"/>
    <w:rsid w:val="0027305C"/>
    <w:rsid w:val="00273278"/>
    <w:rsid w:val="00273383"/>
    <w:rsid w:val="002737F4"/>
    <w:rsid w:val="00276545"/>
    <w:rsid w:val="00276721"/>
    <w:rsid w:val="002804D3"/>
    <w:rsid w:val="002805F5"/>
    <w:rsid w:val="0028067B"/>
    <w:rsid w:val="00280751"/>
    <w:rsid w:val="00280D01"/>
    <w:rsid w:val="00280DC2"/>
    <w:rsid w:val="0028172C"/>
    <w:rsid w:val="00282041"/>
    <w:rsid w:val="0028280A"/>
    <w:rsid w:val="00284B82"/>
    <w:rsid w:val="002854AE"/>
    <w:rsid w:val="0028694E"/>
    <w:rsid w:val="00286ACD"/>
    <w:rsid w:val="00286F40"/>
    <w:rsid w:val="002871BB"/>
    <w:rsid w:val="00287838"/>
    <w:rsid w:val="00287BA5"/>
    <w:rsid w:val="002907B5"/>
    <w:rsid w:val="00290CBE"/>
    <w:rsid w:val="00291C83"/>
    <w:rsid w:val="00291DA6"/>
    <w:rsid w:val="00292EB7"/>
    <w:rsid w:val="002932C8"/>
    <w:rsid w:val="002941BF"/>
    <w:rsid w:val="0029477E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4B6A"/>
    <w:rsid w:val="002A4D24"/>
    <w:rsid w:val="002A517B"/>
    <w:rsid w:val="002A630C"/>
    <w:rsid w:val="002A7399"/>
    <w:rsid w:val="002B034D"/>
    <w:rsid w:val="002B08D2"/>
    <w:rsid w:val="002B1095"/>
    <w:rsid w:val="002B1553"/>
    <w:rsid w:val="002B17AB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735F"/>
    <w:rsid w:val="002B7A2E"/>
    <w:rsid w:val="002B7E4C"/>
    <w:rsid w:val="002C0D71"/>
    <w:rsid w:val="002C0F8B"/>
    <w:rsid w:val="002C41E6"/>
    <w:rsid w:val="002C61DF"/>
    <w:rsid w:val="002C62E1"/>
    <w:rsid w:val="002C7540"/>
    <w:rsid w:val="002D071A"/>
    <w:rsid w:val="002D0994"/>
    <w:rsid w:val="002D269B"/>
    <w:rsid w:val="002D34B2"/>
    <w:rsid w:val="002D36C3"/>
    <w:rsid w:val="002D3825"/>
    <w:rsid w:val="002D410F"/>
    <w:rsid w:val="002D440F"/>
    <w:rsid w:val="002D485A"/>
    <w:rsid w:val="002D5BE9"/>
    <w:rsid w:val="002D733F"/>
    <w:rsid w:val="002D7637"/>
    <w:rsid w:val="002E0D2D"/>
    <w:rsid w:val="002E178A"/>
    <w:rsid w:val="002E17F2"/>
    <w:rsid w:val="002E2BF2"/>
    <w:rsid w:val="002E2EF6"/>
    <w:rsid w:val="002E3600"/>
    <w:rsid w:val="002E5157"/>
    <w:rsid w:val="002E5A92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E6"/>
    <w:rsid w:val="00301E69"/>
    <w:rsid w:val="0030206B"/>
    <w:rsid w:val="0030256B"/>
    <w:rsid w:val="00302897"/>
    <w:rsid w:val="0030313B"/>
    <w:rsid w:val="003034C3"/>
    <w:rsid w:val="0030389B"/>
    <w:rsid w:val="003048D2"/>
    <w:rsid w:val="00304BD0"/>
    <w:rsid w:val="0030501F"/>
    <w:rsid w:val="003066C7"/>
    <w:rsid w:val="00306C1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7DE"/>
    <w:rsid w:val="00315AAF"/>
    <w:rsid w:val="00315C3D"/>
    <w:rsid w:val="003169FE"/>
    <w:rsid w:val="0031775B"/>
    <w:rsid w:val="003203ED"/>
    <w:rsid w:val="00320683"/>
    <w:rsid w:val="00320D8F"/>
    <w:rsid w:val="00321B01"/>
    <w:rsid w:val="00321BF4"/>
    <w:rsid w:val="00321CCD"/>
    <w:rsid w:val="00322C9F"/>
    <w:rsid w:val="00324D23"/>
    <w:rsid w:val="00325289"/>
    <w:rsid w:val="003252B2"/>
    <w:rsid w:val="003264B4"/>
    <w:rsid w:val="00326BBC"/>
    <w:rsid w:val="00327A7D"/>
    <w:rsid w:val="00327B06"/>
    <w:rsid w:val="003305AD"/>
    <w:rsid w:val="00330A25"/>
    <w:rsid w:val="00330B27"/>
    <w:rsid w:val="003315D6"/>
    <w:rsid w:val="00331751"/>
    <w:rsid w:val="00331CD3"/>
    <w:rsid w:val="0033284C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21F7"/>
    <w:rsid w:val="00342A10"/>
    <w:rsid w:val="00342BD7"/>
    <w:rsid w:val="003458E7"/>
    <w:rsid w:val="003467BD"/>
    <w:rsid w:val="00346D01"/>
    <w:rsid w:val="00346DB5"/>
    <w:rsid w:val="00346EBF"/>
    <w:rsid w:val="00346F2B"/>
    <w:rsid w:val="003477B1"/>
    <w:rsid w:val="00347DF4"/>
    <w:rsid w:val="00350175"/>
    <w:rsid w:val="00350337"/>
    <w:rsid w:val="00350671"/>
    <w:rsid w:val="003506FC"/>
    <w:rsid w:val="00351196"/>
    <w:rsid w:val="00351470"/>
    <w:rsid w:val="0035218D"/>
    <w:rsid w:val="00352E14"/>
    <w:rsid w:val="00354C9A"/>
    <w:rsid w:val="00354EB9"/>
    <w:rsid w:val="00355B45"/>
    <w:rsid w:val="00357380"/>
    <w:rsid w:val="003602D9"/>
    <w:rsid w:val="0036035E"/>
    <w:rsid w:val="003604CE"/>
    <w:rsid w:val="003608CC"/>
    <w:rsid w:val="00360B2D"/>
    <w:rsid w:val="003620DB"/>
    <w:rsid w:val="003634DA"/>
    <w:rsid w:val="0036486E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591"/>
    <w:rsid w:val="003729E5"/>
    <w:rsid w:val="00373135"/>
    <w:rsid w:val="003742AC"/>
    <w:rsid w:val="003745BF"/>
    <w:rsid w:val="003753A4"/>
    <w:rsid w:val="003771EE"/>
    <w:rsid w:val="003773B2"/>
    <w:rsid w:val="00377CE1"/>
    <w:rsid w:val="00377FE3"/>
    <w:rsid w:val="003829C3"/>
    <w:rsid w:val="00385343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42D0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5154"/>
    <w:rsid w:val="003A5367"/>
    <w:rsid w:val="003A5B0A"/>
    <w:rsid w:val="003A6BAC"/>
    <w:rsid w:val="003A7EF3"/>
    <w:rsid w:val="003A7F7A"/>
    <w:rsid w:val="003B0605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3656"/>
    <w:rsid w:val="003C3A26"/>
    <w:rsid w:val="003C439E"/>
    <w:rsid w:val="003C50C7"/>
    <w:rsid w:val="003C7806"/>
    <w:rsid w:val="003D0A19"/>
    <w:rsid w:val="003D0E82"/>
    <w:rsid w:val="003D109F"/>
    <w:rsid w:val="003D2478"/>
    <w:rsid w:val="003D3C45"/>
    <w:rsid w:val="003D5B1F"/>
    <w:rsid w:val="003D62C8"/>
    <w:rsid w:val="003D64CC"/>
    <w:rsid w:val="003D7400"/>
    <w:rsid w:val="003D76CD"/>
    <w:rsid w:val="003D7DF7"/>
    <w:rsid w:val="003E0851"/>
    <w:rsid w:val="003E09BE"/>
    <w:rsid w:val="003E1054"/>
    <w:rsid w:val="003E15FA"/>
    <w:rsid w:val="003E19D5"/>
    <w:rsid w:val="003E2466"/>
    <w:rsid w:val="003E2EC0"/>
    <w:rsid w:val="003E3435"/>
    <w:rsid w:val="003E3ABC"/>
    <w:rsid w:val="003E55E4"/>
    <w:rsid w:val="003E561D"/>
    <w:rsid w:val="003E5CFD"/>
    <w:rsid w:val="003E5E31"/>
    <w:rsid w:val="003E74E3"/>
    <w:rsid w:val="003F05C7"/>
    <w:rsid w:val="003F1455"/>
    <w:rsid w:val="003F1717"/>
    <w:rsid w:val="003F1C47"/>
    <w:rsid w:val="003F2904"/>
    <w:rsid w:val="003F2CD4"/>
    <w:rsid w:val="003F3631"/>
    <w:rsid w:val="003F3DCC"/>
    <w:rsid w:val="003F435A"/>
    <w:rsid w:val="003F6837"/>
    <w:rsid w:val="003F6BBE"/>
    <w:rsid w:val="003F7D4F"/>
    <w:rsid w:val="003F7FCD"/>
    <w:rsid w:val="004000E8"/>
    <w:rsid w:val="00400664"/>
    <w:rsid w:val="00402CAD"/>
    <w:rsid w:val="00402E2B"/>
    <w:rsid w:val="0040381B"/>
    <w:rsid w:val="00403EA3"/>
    <w:rsid w:val="00404991"/>
    <w:rsid w:val="0040512B"/>
    <w:rsid w:val="00405CA5"/>
    <w:rsid w:val="00405E14"/>
    <w:rsid w:val="00407CD3"/>
    <w:rsid w:val="00407EBD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7191"/>
    <w:rsid w:val="00417BC8"/>
    <w:rsid w:val="00420059"/>
    <w:rsid w:val="00420936"/>
    <w:rsid w:val="00421105"/>
    <w:rsid w:val="00421CBB"/>
    <w:rsid w:val="00422B15"/>
    <w:rsid w:val="00422D45"/>
    <w:rsid w:val="004242F4"/>
    <w:rsid w:val="00425B88"/>
    <w:rsid w:val="00425ED4"/>
    <w:rsid w:val="00427248"/>
    <w:rsid w:val="00427F3C"/>
    <w:rsid w:val="00430700"/>
    <w:rsid w:val="004316AB"/>
    <w:rsid w:val="00431707"/>
    <w:rsid w:val="00431A2C"/>
    <w:rsid w:val="00431BD2"/>
    <w:rsid w:val="00431BE1"/>
    <w:rsid w:val="0043209E"/>
    <w:rsid w:val="00432756"/>
    <w:rsid w:val="004333BF"/>
    <w:rsid w:val="00435934"/>
    <w:rsid w:val="00435E43"/>
    <w:rsid w:val="00436891"/>
    <w:rsid w:val="0043694A"/>
    <w:rsid w:val="00436C9E"/>
    <w:rsid w:val="00437447"/>
    <w:rsid w:val="00437B73"/>
    <w:rsid w:val="004412BF"/>
    <w:rsid w:val="00441A92"/>
    <w:rsid w:val="00443276"/>
    <w:rsid w:val="00443E94"/>
    <w:rsid w:val="00444164"/>
    <w:rsid w:val="00444F56"/>
    <w:rsid w:val="0044525C"/>
    <w:rsid w:val="00445AF8"/>
    <w:rsid w:val="00446488"/>
    <w:rsid w:val="00446D86"/>
    <w:rsid w:val="00447306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20FA"/>
    <w:rsid w:val="00463505"/>
    <w:rsid w:val="004652FD"/>
    <w:rsid w:val="004669E2"/>
    <w:rsid w:val="004707B7"/>
    <w:rsid w:val="00470C31"/>
    <w:rsid w:val="0047204C"/>
    <w:rsid w:val="004734D0"/>
    <w:rsid w:val="00474782"/>
    <w:rsid w:val="00474EFA"/>
    <w:rsid w:val="0047556B"/>
    <w:rsid w:val="004760B7"/>
    <w:rsid w:val="00477304"/>
    <w:rsid w:val="00477768"/>
    <w:rsid w:val="0047780C"/>
    <w:rsid w:val="00477C83"/>
    <w:rsid w:val="004812B7"/>
    <w:rsid w:val="004818A9"/>
    <w:rsid w:val="004827BE"/>
    <w:rsid w:val="00482CDF"/>
    <w:rsid w:val="00483258"/>
    <w:rsid w:val="00483B32"/>
    <w:rsid w:val="00483F9B"/>
    <w:rsid w:val="00484696"/>
    <w:rsid w:val="0048507A"/>
    <w:rsid w:val="004874D0"/>
    <w:rsid w:val="00487DBF"/>
    <w:rsid w:val="00490DE1"/>
    <w:rsid w:val="00490FB0"/>
    <w:rsid w:val="004914F8"/>
    <w:rsid w:val="00492BC5"/>
    <w:rsid w:val="004964F1"/>
    <w:rsid w:val="0049698D"/>
    <w:rsid w:val="00496ABA"/>
    <w:rsid w:val="004A0FE2"/>
    <w:rsid w:val="004A11D7"/>
    <w:rsid w:val="004A16BC"/>
    <w:rsid w:val="004A1BB2"/>
    <w:rsid w:val="004A2B94"/>
    <w:rsid w:val="004A3D72"/>
    <w:rsid w:val="004A4DB9"/>
    <w:rsid w:val="004A64FA"/>
    <w:rsid w:val="004B09A0"/>
    <w:rsid w:val="004B1FA5"/>
    <w:rsid w:val="004B254E"/>
    <w:rsid w:val="004B2B6D"/>
    <w:rsid w:val="004B32A3"/>
    <w:rsid w:val="004B4ECD"/>
    <w:rsid w:val="004B5C2F"/>
    <w:rsid w:val="004B72FC"/>
    <w:rsid w:val="004B7C0C"/>
    <w:rsid w:val="004C005B"/>
    <w:rsid w:val="004C0117"/>
    <w:rsid w:val="004C089A"/>
    <w:rsid w:val="004C3898"/>
    <w:rsid w:val="004C4246"/>
    <w:rsid w:val="004C49D0"/>
    <w:rsid w:val="004C57ED"/>
    <w:rsid w:val="004C6233"/>
    <w:rsid w:val="004C6FC1"/>
    <w:rsid w:val="004D1E7F"/>
    <w:rsid w:val="004D1F5A"/>
    <w:rsid w:val="004D22F6"/>
    <w:rsid w:val="004D36B1"/>
    <w:rsid w:val="004D3ACD"/>
    <w:rsid w:val="004D3F54"/>
    <w:rsid w:val="004D6368"/>
    <w:rsid w:val="004D6804"/>
    <w:rsid w:val="004D6F96"/>
    <w:rsid w:val="004D7EBD"/>
    <w:rsid w:val="004E05A5"/>
    <w:rsid w:val="004E0A26"/>
    <w:rsid w:val="004E143B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519A"/>
    <w:rsid w:val="004E56DC"/>
    <w:rsid w:val="004E76F4"/>
    <w:rsid w:val="004F0B4E"/>
    <w:rsid w:val="004F0B6C"/>
    <w:rsid w:val="004F2078"/>
    <w:rsid w:val="004F2649"/>
    <w:rsid w:val="004F40AE"/>
    <w:rsid w:val="004F4DA3"/>
    <w:rsid w:val="004F7843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3C7"/>
    <w:rsid w:val="00504AC5"/>
    <w:rsid w:val="00505110"/>
    <w:rsid w:val="0050528C"/>
    <w:rsid w:val="00506061"/>
    <w:rsid w:val="00506557"/>
    <w:rsid w:val="0050677A"/>
    <w:rsid w:val="00507737"/>
    <w:rsid w:val="00507FCA"/>
    <w:rsid w:val="005108D8"/>
    <w:rsid w:val="005116F9"/>
    <w:rsid w:val="00511892"/>
    <w:rsid w:val="00511CBB"/>
    <w:rsid w:val="00511DD1"/>
    <w:rsid w:val="00512E0D"/>
    <w:rsid w:val="005153A7"/>
    <w:rsid w:val="00516AEF"/>
    <w:rsid w:val="00517D25"/>
    <w:rsid w:val="00521570"/>
    <w:rsid w:val="005219CF"/>
    <w:rsid w:val="00522264"/>
    <w:rsid w:val="005245CD"/>
    <w:rsid w:val="00524EF8"/>
    <w:rsid w:val="0052560D"/>
    <w:rsid w:val="00525633"/>
    <w:rsid w:val="00525F5B"/>
    <w:rsid w:val="00526A01"/>
    <w:rsid w:val="005270C3"/>
    <w:rsid w:val="005275C0"/>
    <w:rsid w:val="00527819"/>
    <w:rsid w:val="00530643"/>
    <w:rsid w:val="00530B50"/>
    <w:rsid w:val="00531CB4"/>
    <w:rsid w:val="00532C47"/>
    <w:rsid w:val="00533836"/>
    <w:rsid w:val="00534B59"/>
    <w:rsid w:val="00534BB0"/>
    <w:rsid w:val="005364B7"/>
    <w:rsid w:val="00536759"/>
    <w:rsid w:val="00537792"/>
    <w:rsid w:val="00537932"/>
    <w:rsid w:val="00537C62"/>
    <w:rsid w:val="00540697"/>
    <w:rsid w:val="00541897"/>
    <w:rsid w:val="00542AEF"/>
    <w:rsid w:val="00542BCE"/>
    <w:rsid w:val="005431B2"/>
    <w:rsid w:val="005449F6"/>
    <w:rsid w:val="00546970"/>
    <w:rsid w:val="00546F49"/>
    <w:rsid w:val="00552585"/>
    <w:rsid w:val="0055316E"/>
    <w:rsid w:val="00554E19"/>
    <w:rsid w:val="0055680F"/>
    <w:rsid w:val="005574E6"/>
    <w:rsid w:val="00560F4B"/>
    <w:rsid w:val="0056121F"/>
    <w:rsid w:val="0056176B"/>
    <w:rsid w:val="00564860"/>
    <w:rsid w:val="005652B0"/>
    <w:rsid w:val="00565CF0"/>
    <w:rsid w:val="005662A3"/>
    <w:rsid w:val="00566D80"/>
    <w:rsid w:val="00567261"/>
    <w:rsid w:val="00567457"/>
    <w:rsid w:val="00567847"/>
    <w:rsid w:val="00567FDE"/>
    <w:rsid w:val="00570A38"/>
    <w:rsid w:val="0057126F"/>
    <w:rsid w:val="00571C38"/>
    <w:rsid w:val="00571FB9"/>
    <w:rsid w:val="00572505"/>
    <w:rsid w:val="00572E90"/>
    <w:rsid w:val="005762A2"/>
    <w:rsid w:val="0057664C"/>
    <w:rsid w:val="00577CAD"/>
    <w:rsid w:val="00582809"/>
    <w:rsid w:val="00582CB2"/>
    <w:rsid w:val="00584D30"/>
    <w:rsid w:val="00585C92"/>
    <w:rsid w:val="00586D50"/>
    <w:rsid w:val="0058798C"/>
    <w:rsid w:val="005900FA"/>
    <w:rsid w:val="005906E9"/>
    <w:rsid w:val="00590FC0"/>
    <w:rsid w:val="00591036"/>
    <w:rsid w:val="0059144C"/>
    <w:rsid w:val="005935A4"/>
    <w:rsid w:val="005936B4"/>
    <w:rsid w:val="005938FF"/>
    <w:rsid w:val="0059432C"/>
    <w:rsid w:val="005948C2"/>
    <w:rsid w:val="00594977"/>
    <w:rsid w:val="00595036"/>
    <w:rsid w:val="00595DCA"/>
    <w:rsid w:val="00596174"/>
    <w:rsid w:val="005975B0"/>
    <w:rsid w:val="0059779B"/>
    <w:rsid w:val="00597CD4"/>
    <w:rsid w:val="00597EED"/>
    <w:rsid w:val="005A011C"/>
    <w:rsid w:val="005A209A"/>
    <w:rsid w:val="005A29FD"/>
    <w:rsid w:val="005A5149"/>
    <w:rsid w:val="005A6048"/>
    <w:rsid w:val="005A662D"/>
    <w:rsid w:val="005B0395"/>
    <w:rsid w:val="005B0428"/>
    <w:rsid w:val="005B0678"/>
    <w:rsid w:val="005B0ACC"/>
    <w:rsid w:val="005B15B8"/>
    <w:rsid w:val="005B20B5"/>
    <w:rsid w:val="005B35D7"/>
    <w:rsid w:val="005B3874"/>
    <w:rsid w:val="005B392A"/>
    <w:rsid w:val="005B3AA3"/>
    <w:rsid w:val="005B3E9F"/>
    <w:rsid w:val="005B43C4"/>
    <w:rsid w:val="005B44FC"/>
    <w:rsid w:val="005B50DB"/>
    <w:rsid w:val="005B6F83"/>
    <w:rsid w:val="005B73A4"/>
    <w:rsid w:val="005C0A0D"/>
    <w:rsid w:val="005C1A97"/>
    <w:rsid w:val="005C3B16"/>
    <w:rsid w:val="005C4FAF"/>
    <w:rsid w:val="005C58E5"/>
    <w:rsid w:val="005C5C7E"/>
    <w:rsid w:val="005C64A5"/>
    <w:rsid w:val="005C6F97"/>
    <w:rsid w:val="005C74FB"/>
    <w:rsid w:val="005D1602"/>
    <w:rsid w:val="005D2D1D"/>
    <w:rsid w:val="005D5E76"/>
    <w:rsid w:val="005D757F"/>
    <w:rsid w:val="005E08E8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2B0B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7EA"/>
    <w:rsid w:val="00600C8F"/>
    <w:rsid w:val="0060150A"/>
    <w:rsid w:val="006025F9"/>
    <w:rsid w:val="0060263F"/>
    <w:rsid w:val="0060283C"/>
    <w:rsid w:val="0060334B"/>
    <w:rsid w:val="006039AD"/>
    <w:rsid w:val="00604F14"/>
    <w:rsid w:val="00605419"/>
    <w:rsid w:val="0060667C"/>
    <w:rsid w:val="00606A65"/>
    <w:rsid w:val="00611B83"/>
    <w:rsid w:val="00612A50"/>
    <w:rsid w:val="00613257"/>
    <w:rsid w:val="0061342C"/>
    <w:rsid w:val="0061437E"/>
    <w:rsid w:val="006146CE"/>
    <w:rsid w:val="00615AC2"/>
    <w:rsid w:val="00616509"/>
    <w:rsid w:val="00617052"/>
    <w:rsid w:val="006177A7"/>
    <w:rsid w:val="00620A71"/>
    <w:rsid w:val="00620D80"/>
    <w:rsid w:val="006231F5"/>
    <w:rsid w:val="00623355"/>
    <w:rsid w:val="006234A6"/>
    <w:rsid w:val="00623A29"/>
    <w:rsid w:val="00623CD0"/>
    <w:rsid w:val="0062635C"/>
    <w:rsid w:val="00626DC5"/>
    <w:rsid w:val="00627F35"/>
    <w:rsid w:val="00630001"/>
    <w:rsid w:val="00630791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608E"/>
    <w:rsid w:val="0063623C"/>
    <w:rsid w:val="00636398"/>
    <w:rsid w:val="006368D3"/>
    <w:rsid w:val="006377EC"/>
    <w:rsid w:val="00637B3F"/>
    <w:rsid w:val="00637CB9"/>
    <w:rsid w:val="0064085F"/>
    <w:rsid w:val="0064151F"/>
    <w:rsid w:val="00641533"/>
    <w:rsid w:val="0064169E"/>
    <w:rsid w:val="00641D12"/>
    <w:rsid w:val="00641E7A"/>
    <w:rsid w:val="0064208D"/>
    <w:rsid w:val="00643475"/>
    <w:rsid w:val="0064358B"/>
    <w:rsid w:val="0064396A"/>
    <w:rsid w:val="00643CB0"/>
    <w:rsid w:val="00644CDC"/>
    <w:rsid w:val="0064624E"/>
    <w:rsid w:val="00650811"/>
    <w:rsid w:val="00650AB9"/>
    <w:rsid w:val="006511BC"/>
    <w:rsid w:val="00651429"/>
    <w:rsid w:val="006521DB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190"/>
    <w:rsid w:val="00660233"/>
    <w:rsid w:val="006607C0"/>
    <w:rsid w:val="00660879"/>
    <w:rsid w:val="006613A6"/>
    <w:rsid w:val="006627A2"/>
    <w:rsid w:val="00662E1E"/>
    <w:rsid w:val="00662F29"/>
    <w:rsid w:val="006634E6"/>
    <w:rsid w:val="00663F31"/>
    <w:rsid w:val="006655EE"/>
    <w:rsid w:val="006658E7"/>
    <w:rsid w:val="00665F15"/>
    <w:rsid w:val="0066707C"/>
    <w:rsid w:val="006673DC"/>
    <w:rsid w:val="00667843"/>
    <w:rsid w:val="00667EE7"/>
    <w:rsid w:val="00670922"/>
    <w:rsid w:val="00670A05"/>
    <w:rsid w:val="00670BE1"/>
    <w:rsid w:val="0067114E"/>
    <w:rsid w:val="00671D18"/>
    <w:rsid w:val="0067218F"/>
    <w:rsid w:val="00672FCF"/>
    <w:rsid w:val="00673D88"/>
    <w:rsid w:val="006741F2"/>
    <w:rsid w:val="00674765"/>
    <w:rsid w:val="00674CC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7C9"/>
    <w:rsid w:val="00683E3F"/>
    <w:rsid w:val="00683ECE"/>
    <w:rsid w:val="0068473C"/>
    <w:rsid w:val="00684C20"/>
    <w:rsid w:val="00687953"/>
    <w:rsid w:val="00690824"/>
    <w:rsid w:val="006918E0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3FFD"/>
    <w:rsid w:val="006A4584"/>
    <w:rsid w:val="006A46FB"/>
    <w:rsid w:val="006A5E28"/>
    <w:rsid w:val="006A697B"/>
    <w:rsid w:val="006A6EA1"/>
    <w:rsid w:val="006A7937"/>
    <w:rsid w:val="006A79E2"/>
    <w:rsid w:val="006A7AFF"/>
    <w:rsid w:val="006B054E"/>
    <w:rsid w:val="006B1816"/>
    <w:rsid w:val="006B2099"/>
    <w:rsid w:val="006B240A"/>
    <w:rsid w:val="006B5043"/>
    <w:rsid w:val="006B50CF"/>
    <w:rsid w:val="006B5412"/>
    <w:rsid w:val="006B61B1"/>
    <w:rsid w:val="006B6787"/>
    <w:rsid w:val="006B6DBB"/>
    <w:rsid w:val="006B7666"/>
    <w:rsid w:val="006C03B8"/>
    <w:rsid w:val="006C1D7B"/>
    <w:rsid w:val="006C1DB4"/>
    <w:rsid w:val="006C22F4"/>
    <w:rsid w:val="006C380A"/>
    <w:rsid w:val="006C49AF"/>
    <w:rsid w:val="006C5EC9"/>
    <w:rsid w:val="006C6028"/>
    <w:rsid w:val="006C6059"/>
    <w:rsid w:val="006C6949"/>
    <w:rsid w:val="006C7522"/>
    <w:rsid w:val="006D04D1"/>
    <w:rsid w:val="006D47BE"/>
    <w:rsid w:val="006D4C6B"/>
    <w:rsid w:val="006D504F"/>
    <w:rsid w:val="006D5DC1"/>
    <w:rsid w:val="006D65C2"/>
    <w:rsid w:val="006D6F08"/>
    <w:rsid w:val="006D77D9"/>
    <w:rsid w:val="006E062C"/>
    <w:rsid w:val="006E157D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233"/>
    <w:rsid w:val="006E7A5B"/>
    <w:rsid w:val="006E7D3B"/>
    <w:rsid w:val="006F10F0"/>
    <w:rsid w:val="006F11FE"/>
    <w:rsid w:val="006F14E6"/>
    <w:rsid w:val="006F1B70"/>
    <w:rsid w:val="006F1D12"/>
    <w:rsid w:val="006F341D"/>
    <w:rsid w:val="006F34B7"/>
    <w:rsid w:val="006F3620"/>
    <w:rsid w:val="006F3C95"/>
    <w:rsid w:val="006F3CDE"/>
    <w:rsid w:val="006F58D4"/>
    <w:rsid w:val="006F5AFE"/>
    <w:rsid w:val="006F6D62"/>
    <w:rsid w:val="006F6FEF"/>
    <w:rsid w:val="006F765C"/>
    <w:rsid w:val="007007A9"/>
    <w:rsid w:val="007009AC"/>
    <w:rsid w:val="00700A9B"/>
    <w:rsid w:val="0070104C"/>
    <w:rsid w:val="007020A0"/>
    <w:rsid w:val="0070346E"/>
    <w:rsid w:val="00703909"/>
    <w:rsid w:val="00703CA3"/>
    <w:rsid w:val="00704EDB"/>
    <w:rsid w:val="00706101"/>
    <w:rsid w:val="00707072"/>
    <w:rsid w:val="0070714D"/>
    <w:rsid w:val="00707D61"/>
    <w:rsid w:val="00710EE5"/>
    <w:rsid w:val="00712287"/>
    <w:rsid w:val="00712772"/>
    <w:rsid w:val="00712EA9"/>
    <w:rsid w:val="00713AEA"/>
    <w:rsid w:val="00713D85"/>
    <w:rsid w:val="00713DFC"/>
    <w:rsid w:val="007148D3"/>
    <w:rsid w:val="00715B9A"/>
    <w:rsid w:val="007165ED"/>
    <w:rsid w:val="0072225D"/>
    <w:rsid w:val="007227CC"/>
    <w:rsid w:val="00724AA9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3355"/>
    <w:rsid w:val="007335C4"/>
    <w:rsid w:val="007348B1"/>
    <w:rsid w:val="007354AE"/>
    <w:rsid w:val="007362A6"/>
    <w:rsid w:val="00736340"/>
    <w:rsid w:val="00736A40"/>
    <w:rsid w:val="00736D7D"/>
    <w:rsid w:val="007375F2"/>
    <w:rsid w:val="00740E58"/>
    <w:rsid w:val="0074266D"/>
    <w:rsid w:val="007426BE"/>
    <w:rsid w:val="007434E0"/>
    <w:rsid w:val="00743630"/>
    <w:rsid w:val="007445A0"/>
    <w:rsid w:val="0074524B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3D8E"/>
    <w:rsid w:val="007540F3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5281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3D41"/>
    <w:rsid w:val="0077428A"/>
    <w:rsid w:val="00774748"/>
    <w:rsid w:val="00775299"/>
    <w:rsid w:val="007755F2"/>
    <w:rsid w:val="00776416"/>
    <w:rsid w:val="007764AF"/>
    <w:rsid w:val="007767E2"/>
    <w:rsid w:val="00776971"/>
    <w:rsid w:val="007771D1"/>
    <w:rsid w:val="007775E1"/>
    <w:rsid w:val="00777884"/>
    <w:rsid w:val="00780524"/>
    <w:rsid w:val="0078063E"/>
    <w:rsid w:val="007816A7"/>
    <w:rsid w:val="0078177E"/>
    <w:rsid w:val="00782173"/>
    <w:rsid w:val="007821E0"/>
    <w:rsid w:val="00782367"/>
    <w:rsid w:val="0078304C"/>
    <w:rsid w:val="00783673"/>
    <w:rsid w:val="00784EBA"/>
    <w:rsid w:val="00785490"/>
    <w:rsid w:val="0078591D"/>
    <w:rsid w:val="0078701F"/>
    <w:rsid w:val="007878D1"/>
    <w:rsid w:val="00787C29"/>
    <w:rsid w:val="00790CC9"/>
    <w:rsid w:val="007914F2"/>
    <w:rsid w:val="007916DF"/>
    <w:rsid w:val="00792054"/>
    <w:rsid w:val="007925EA"/>
    <w:rsid w:val="007930E5"/>
    <w:rsid w:val="007937AD"/>
    <w:rsid w:val="00793BEE"/>
    <w:rsid w:val="00793CD8"/>
    <w:rsid w:val="00793FB0"/>
    <w:rsid w:val="0079500B"/>
    <w:rsid w:val="00795C92"/>
    <w:rsid w:val="00796231"/>
    <w:rsid w:val="0079627A"/>
    <w:rsid w:val="00796FD6"/>
    <w:rsid w:val="007A0643"/>
    <w:rsid w:val="007A0A61"/>
    <w:rsid w:val="007A1293"/>
    <w:rsid w:val="007A1CB3"/>
    <w:rsid w:val="007A306F"/>
    <w:rsid w:val="007A43A6"/>
    <w:rsid w:val="007A4C2B"/>
    <w:rsid w:val="007A579D"/>
    <w:rsid w:val="007A58A6"/>
    <w:rsid w:val="007A5D82"/>
    <w:rsid w:val="007A6889"/>
    <w:rsid w:val="007A69D5"/>
    <w:rsid w:val="007A7322"/>
    <w:rsid w:val="007B0333"/>
    <w:rsid w:val="007B0C08"/>
    <w:rsid w:val="007B1007"/>
    <w:rsid w:val="007B1D07"/>
    <w:rsid w:val="007B2367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6A2"/>
    <w:rsid w:val="007B7EC7"/>
    <w:rsid w:val="007C0389"/>
    <w:rsid w:val="007C05DD"/>
    <w:rsid w:val="007C3AFD"/>
    <w:rsid w:val="007C3D18"/>
    <w:rsid w:val="007C4CA6"/>
    <w:rsid w:val="007C52F9"/>
    <w:rsid w:val="007C60BF"/>
    <w:rsid w:val="007C6A07"/>
    <w:rsid w:val="007C75A1"/>
    <w:rsid w:val="007C77A5"/>
    <w:rsid w:val="007D04E5"/>
    <w:rsid w:val="007D0EDA"/>
    <w:rsid w:val="007D0EEC"/>
    <w:rsid w:val="007D170D"/>
    <w:rsid w:val="007D36E1"/>
    <w:rsid w:val="007D4969"/>
    <w:rsid w:val="007D5901"/>
    <w:rsid w:val="007D7266"/>
    <w:rsid w:val="007D7526"/>
    <w:rsid w:val="007D7556"/>
    <w:rsid w:val="007E03B2"/>
    <w:rsid w:val="007E1636"/>
    <w:rsid w:val="007E1710"/>
    <w:rsid w:val="007E1D06"/>
    <w:rsid w:val="007E1F0E"/>
    <w:rsid w:val="007E21AE"/>
    <w:rsid w:val="007E4610"/>
    <w:rsid w:val="007E4715"/>
    <w:rsid w:val="007E505B"/>
    <w:rsid w:val="007E5320"/>
    <w:rsid w:val="007E55FE"/>
    <w:rsid w:val="007E5EFF"/>
    <w:rsid w:val="007E7091"/>
    <w:rsid w:val="007E736D"/>
    <w:rsid w:val="007E7F7C"/>
    <w:rsid w:val="007F22C6"/>
    <w:rsid w:val="007F3D18"/>
    <w:rsid w:val="007F3EC6"/>
    <w:rsid w:val="007F427F"/>
    <w:rsid w:val="007F5BAF"/>
    <w:rsid w:val="007F6931"/>
    <w:rsid w:val="007F7230"/>
    <w:rsid w:val="007F7B25"/>
    <w:rsid w:val="00800956"/>
    <w:rsid w:val="0080294E"/>
    <w:rsid w:val="00803FAE"/>
    <w:rsid w:val="0080473F"/>
    <w:rsid w:val="00804843"/>
    <w:rsid w:val="0080517A"/>
    <w:rsid w:val="0080605F"/>
    <w:rsid w:val="00806760"/>
    <w:rsid w:val="00807786"/>
    <w:rsid w:val="008078FF"/>
    <w:rsid w:val="00807D52"/>
    <w:rsid w:val="00811FCB"/>
    <w:rsid w:val="00812391"/>
    <w:rsid w:val="00813481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8E3"/>
    <w:rsid w:val="00821C5B"/>
    <w:rsid w:val="008223C2"/>
    <w:rsid w:val="00822EA8"/>
    <w:rsid w:val="00823510"/>
    <w:rsid w:val="008235DB"/>
    <w:rsid w:val="00824AB4"/>
    <w:rsid w:val="00824E87"/>
    <w:rsid w:val="00825284"/>
    <w:rsid w:val="00825B9B"/>
    <w:rsid w:val="00825C42"/>
    <w:rsid w:val="00825D25"/>
    <w:rsid w:val="00826590"/>
    <w:rsid w:val="00827D6F"/>
    <w:rsid w:val="00830DCF"/>
    <w:rsid w:val="008326D2"/>
    <w:rsid w:val="00832EE6"/>
    <w:rsid w:val="00833061"/>
    <w:rsid w:val="0083488B"/>
    <w:rsid w:val="0083529D"/>
    <w:rsid w:val="00835942"/>
    <w:rsid w:val="008362D1"/>
    <w:rsid w:val="008376AC"/>
    <w:rsid w:val="00837FF8"/>
    <w:rsid w:val="00840847"/>
    <w:rsid w:val="008412EA"/>
    <w:rsid w:val="0084391E"/>
    <w:rsid w:val="008444E8"/>
    <w:rsid w:val="00844723"/>
    <w:rsid w:val="00844E80"/>
    <w:rsid w:val="00845754"/>
    <w:rsid w:val="0084651D"/>
    <w:rsid w:val="00846FE7"/>
    <w:rsid w:val="008470E5"/>
    <w:rsid w:val="00847316"/>
    <w:rsid w:val="0084745A"/>
    <w:rsid w:val="00850585"/>
    <w:rsid w:val="00850F92"/>
    <w:rsid w:val="008516F5"/>
    <w:rsid w:val="008528D8"/>
    <w:rsid w:val="00853FD9"/>
    <w:rsid w:val="0085566A"/>
    <w:rsid w:val="00855A9E"/>
    <w:rsid w:val="00856911"/>
    <w:rsid w:val="00856F80"/>
    <w:rsid w:val="008571C1"/>
    <w:rsid w:val="00857F50"/>
    <w:rsid w:val="008617AC"/>
    <w:rsid w:val="0086247C"/>
    <w:rsid w:val="0086318D"/>
    <w:rsid w:val="00864DB5"/>
    <w:rsid w:val="00865BAC"/>
    <w:rsid w:val="00865C41"/>
    <w:rsid w:val="008677FD"/>
    <w:rsid w:val="008706D4"/>
    <w:rsid w:val="00870977"/>
    <w:rsid w:val="00870B11"/>
    <w:rsid w:val="00870F8A"/>
    <w:rsid w:val="00871504"/>
    <w:rsid w:val="008719A4"/>
    <w:rsid w:val="00871D23"/>
    <w:rsid w:val="0087245A"/>
    <w:rsid w:val="00872603"/>
    <w:rsid w:val="00872D61"/>
    <w:rsid w:val="00874312"/>
    <w:rsid w:val="0087437C"/>
    <w:rsid w:val="0087456E"/>
    <w:rsid w:val="008747D6"/>
    <w:rsid w:val="0087485C"/>
    <w:rsid w:val="00874944"/>
    <w:rsid w:val="00875CD7"/>
    <w:rsid w:val="00876B4D"/>
    <w:rsid w:val="0087701B"/>
    <w:rsid w:val="0087761E"/>
    <w:rsid w:val="00877962"/>
    <w:rsid w:val="00877F18"/>
    <w:rsid w:val="00880032"/>
    <w:rsid w:val="008800BC"/>
    <w:rsid w:val="008800D8"/>
    <w:rsid w:val="00880516"/>
    <w:rsid w:val="00880A4F"/>
    <w:rsid w:val="00883BAF"/>
    <w:rsid w:val="00885991"/>
    <w:rsid w:val="00885BD5"/>
    <w:rsid w:val="00886724"/>
    <w:rsid w:val="008869F8"/>
    <w:rsid w:val="00886E16"/>
    <w:rsid w:val="008904F3"/>
    <w:rsid w:val="0089078F"/>
    <w:rsid w:val="00890CA7"/>
    <w:rsid w:val="00891599"/>
    <w:rsid w:val="008928B9"/>
    <w:rsid w:val="00892F30"/>
    <w:rsid w:val="00893048"/>
    <w:rsid w:val="00893F9E"/>
    <w:rsid w:val="00894A88"/>
    <w:rsid w:val="00894FD8"/>
    <w:rsid w:val="00895386"/>
    <w:rsid w:val="00895A6F"/>
    <w:rsid w:val="00895EAC"/>
    <w:rsid w:val="008A0216"/>
    <w:rsid w:val="008A0D2B"/>
    <w:rsid w:val="008A0D45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768F"/>
    <w:rsid w:val="008A77D8"/>
    <w:rsid w:val="008B0483"/>
    <w:rsid w:val="008B0C90"/>
    <w:rsid w:val="008B120C"/>
    <w:rsid w:val="008B288F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2017"/>
    <w:rsid w:val="008C4407"/>
    <w:rsid w:val="008C4958"/>
    <w:rsid w:val="008C4BAA"/>
    <w:rsid w:val="008C6AE8"/>
    <w:rsid w:val="008C7573"/>
    <w:rsid w:val="008C7854"/>
    <w:rsid w:val="008D04CB"/>
    <w:rsid w:val="008D0893"/>
    <w:rsid w:val="008D0A41"/>
    <w:rsid w:val="008D10D2"/>
    <w:rsid w:val="008D1668"/>
    <w:rsid w:val="008D1868"/>
    <w:rsid w:val="008D34F1"/>
    <w:rsid w:val="008D39D8"/>
    <w:rsid w:val="008D5E5D"/>
    <w:rsid w:val="008D6103"/>
    <w:rsid w:val="008D6419"/>
    <w:rsid w:val="008D6D1A"/>
    <w:rsid w:val="008D72C2"/>
    <w:rsid w:val="008D7762"/>
    <w:rsid w:val="008E065E"/>
    <w:rsid w:val="008E0927"/>
    <w:rsid w:val="008E1909"/>
    <w:rsid w:val="008E1990"/>
    <w:rsid w:val="008E1A25"/>
    <w:rsid w:val="008E2D12"/>
    <w:rsid w:val="008E4D7C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33DC"/>
    <w:rsid w:val="008F356B"/>
    <w:rsid w:val="008F375D"/>
    <w:rsid w:val="008F477F"/>
    <w:rsid w:val="008F6029"/>
    <w:rsid w:val="008F662F"/>
    <w:rsid w:val="009000FD"/>
    <w:rsid w:val="00902327"/>
    <w:rsid w:val="00902350"/>
    <w:rsid w:val="009032D3"/>
    <w:rsid w:val="0090336B"/>
    <w:rsid w:val="009053AA"/>
    <w:rsid w:val="009067C8"/>
    <w:rsid w:val="00906939"/>
    <w:rsid w:val="00910A74"/>
    <w:rsid w:val="00910B7D"/>
    <w:rsid w:val="00911DFB"/>
    <w:rsid w:val="0091311E"/>
    <w:rsid w:val="009139D9"/>
    <w:rsid w:val="00914AD8"/>
    <w:rsid w:val="00916079"/>
    <w:rsid w:val="00917CE9"/>
    <w:rsid w:val="00920BF2"/>
    <w:rsid w:val="00920DCC"/>
    <w:rsid w:val="009210EF"/>
    <w:rsid w:val="00921D86"/>
    <w:rsid w:val="00922010"/>
    <w:rsid w:val="00923EF6"/>
    <w:rsid w:val="00924943"/>
    <w:rsid w:val="0092752A"/>
    <w:rsid w:val="00927943"/>
    <w:rsid w:val="00927E1C"/>
    <w:rsid w:val="009305EA"/>
    <w:rsid w:val="00930A47"/>
    <w:rsid w:val="009311E4"/>
    <w:rsid w:val="00931BD9"/>
    <w:rsid w:val="00931C91"/>
    <w:rsid w:val="00932336"/>
    <w:rsid w:val="0093233C"/>
    <w:rsid w:val="00932590"/>
    <w:rsid w:val="00936292"/>
    <w:rsid w:val="009368F3"/>
    <w:rsid w:val="00937706"/>
    <w:rsid w:val="00940493"/>
    <w:rsid w:val="00941636"/>
    <w:rsid w:val="00941A65"/>
    <w:rsid w:val="00941B10"/>
    <w:rsid w:val="00942569"/>
    <w:rsid w:val="00943742"/>
    <w:rsid w:val="00943C8D"/>
    <w:rsid w:val="00944A1A"/>
    <w:rsid w:val="00945C05"/>
    <w:rsid w:val="00945EE0"/>
    <w:rsid w:val="00946945"/>
    <w:rsid w:val="00946F56"/>
    <w:rsid w:val="0094749C"/>
    <w:rsid w:val="00947713"/>
    <w:rsid w:val="00950DE7"/>
    <w:rsid w:val="00951746"/>
    <w:rsid w:val="00951E5C"/>
    <w:rsid w:val="0095258C"/>
    <w:rsid w:val="00952C3E"/>
    <w:rsid w:val="00952CC3"/>
    <w:rsid w:val="00953920"/>
    <w:rsid w:val="00953A06"/>
    <w:rsid w:val="00953B77"/>
    <w:rsid w:val="00953D47"/>
    <w:rsid w:val="00954D11"/>
    <w:rsid w:val="009558DD"/>
    <w:rsid w:val="0095681E"/>
    <w:rsid w:val="009572D4"/>
    <w:rsid w:val="00960239"/>
    <w:rsid w:val="00960608"/>
    <w:rsid w:val="00961921"/>
    <w:rsid w:val="009619C8"/>
    <w:rsid w:val="009621B3"/>
    <w:rsid w:val="0096430A"/>
    <w:rsid w:val="00964B5A"/>
    <w:rsid w:val="0096554B"/>
    <w:rsid w:val="0096584A"/>
    <w:rsid w:val="00967990"/>
    <w:rsid w:val="00970097"/>
    <w:rsid w:val="009704C6"/>
    <w:rsid w:val="00971626"/>
    <w:rsid w:val="00971F08"/>
    <w:rsid w:val="009720E8"/>
    <w:rsid w:val="00973E9D"/>
    <w:rsid w:val="0097603D"/>
    <w:rsid w:val="00976949"/>
    <w:rsid w:val="00980477"/>
    <w:rsid w:val="009812FF"/>
    <w:rsid w:val="00981DED"/>
    <w:rsid w:val="00982F05"/>
    <w:rsid w:val="00983466"/>
    <w:rsid w:val="00983A79"/>
    <w:rsid w:val="00985253"/>
    <w:rsid w:val="009853B3"/>
    <w:rsid w:val="00986059"/>
    <w:rsid w:val="00987C96"/>
    <w:rsid w:val="00990630"/>
    <w:rsid w:val="00990B76"/>
    <w:rsid w:val="00990DCB"/>
    <w:rsid w:val="00991761"/>
    <w:rsid w:val="00991887"/>
    <w:rsid w:val="009921D3"/>
    <w:rsid w:val="00993193"/>
    <w:rsid w:val="00994333"/>
    <w:rsid w:val="00994B72"/>
    <w:rsid w:val="00994DCA"/>
    <w:rsid w:val="009950C0"/>
    <w:rsid w:val="00995978"/>
    <w:rsid w:val="00996021"/>
    <w:rsid w:val="009960EC"/>
    <w:rsid w:val="009970DD"/>
    <w:rsid w:val="009A01C3"/>
    <w:rsid w:val="009A0E89"/>
    <w:rsid w:val="009A0FBA"/>
    <w:rsid w:val="009A11A5"/>
    <w:rsid w:val="009A1601"/>
    <w:rsid w:val="009A38B7"/>
    <w:rsid w:val="009A462D"/>
    <w:rsid w:val="009A5B25"/>
    <w:rsid w:val="009A5CBA"/>
    <w:rsid w:val="009A6E9F"/>
    <w:rsid w:val="009A7541"/>
    <w:rsid w:val="009B0E0E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6261"/>
    <w:rsid w:val="009B7E87"/>
    <w:rsid w:val="009B7F3D"/>
    <w:rsid w:val="009C27EA"/>
    <w:rsid w:val="009C3625"/>
    <w:rsid w:val="009C403E"/>
    <w:rsid w:val="009C4B0A"/>
    <w:rsid w:val="009C5300"/>
    <w:rsid w:val="009D03A8"/>
    <w:rsid w:val="009D194C"/>
    <w:rsid w:val="009D2627"/>
    <w:rsid w:val="009D2C6E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2550"/>
    <w:rsid w:val="009E290E"/>
    <w:rsid w:val="009E35DB"/>
    <w:rsid w:val="009E3D8F"/>
    <w:rsid w:val="009E41A5"/>
    <w:rsid w:val="009E43E9"/>
    <w:rsid w:val="009E47A3"/>
    <w:rsid w:val="009E4CDD"/>
    <w:rsid w:val="009E6B71"/>
    <w:rsid w:val="009E7AEF"/>
    <w:rsid w:val="009E7D6F"/>
    <w:rsid w:val="009F06F7"/>
    <w:rsid w:val="009F08F3"/>
    <w:rsid w:val="009F1F7D"/>
    <w:rsid w:val="009F204D"/>
    <w:rsid w:val="009F2BB4"/>
    <w:rsid w:val="009F344F"/>
    <w:rsid w:val="009F4D4A"/>
    <w:rsid w:val="009F581C"/>
    <w:rsid w:val="009F6264"/>
    <w:rsid w:val="009F68A6"/>
    <w:rsid w:val="009F7973"/>
    <w:rsid w:val="009F7CE2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109A1"/>
    <w:rsid w:val="00A10F9E"/>
    <w:rsid w:val="00A1284B"/>
    <w:rsid w:val="00A13E54"/>
    <w:rsid w:val="00A1430F"/>
    <w:rsid w:val="00A14ED1"/>
    <w:rsid w:val="00A152B1"/>
    <w:rsid w:val="00A15403"/>
    <w:rsid w:val="00A15457"/>
    <w:rsid w:val="00A16040"/>
    <w:rsid w:val="00A1607B"/>
    <w:rsid w:val="00A16DF9"/>
    <w:rsid w:val="00A17F63"/>
    <w:rsid w:val="00A206B3"/>
    <w:rsid w:val="00A208A1"/>
    <w:rsid w:val="00A20CDA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64A9"/>
    <w:rsid w:val="00A26AC8"/>
    <w:rsid w:val="00A27785"/>
    <w:rsid w:val="00A27D53"/>
    <w:rsid w:val="00A30187"/>
    <w:rsid w:val="00A30335"/>
    <w:rsid w:val="00A309A4"/>
    <w:rsid w:val="00A315AE"/>
    <w:rsid w:val="00A3246C"/>
    <w:rsid w:val="00A3265D"/>
    <w:rsid w:val="00A33A4A"/>
    <w:rsid w:val="00A34161"/>
    <w:rsid w:val="00A342C6"/>
    <w:rsid w:val="00A3448A"/>
    <w:rsid w:val="00A35955"/>
    <w:rsid w:val="00A3629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D3B"/>
    <w:rsid w:val="00A43626"/>
    <w:rsid w:val="00A436E2"/>
    <w:rsid w:val="00A43A56"/>
    <w:rsid w:val="00A440D0"/>
    <w:rsid w:val="00A44966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2D50"/>
    <w:rsid w:val="00A52E1D"/>
    <w:rsid w:val="00A55067"/>
    <w:rsid w:val="00A563A0"/>
    <w:rsid w:val="00A568DF"/>
    <w:rsid w:val="00A56CCB"/>
    <w:rsid w:val="00A57F52"/>
    <w:rsid w:val="00A61499"/>
    <w:rsid w:val="00A62A77"/>
    <w:rsid w:val="00A62F92"/>
    <w:rsid w:val="00A63483"/>
    <w:rsid w:val="00A63B68"/>
    <w:rsid w:val="00A657D7"/>
    <w:rsid w:val="00A660AC"/>
    <w:rsid w:val="00A663AA"/>
    <w:rsid w:val="00A67664"/>
    <w:rsid w:val="00A67E6C"/>
    <w:rsid w:val="00A71B99"/>
    <w:rsid w:val="00A721B8"/>
    <w:rsid w:val="00A732B1"/>
    <w:rsid w:val="00A739D0"/>
    <w:rsid w:val="00A74376"/>
    <w:rsid w:val="00A746B4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92879"/>
    <w:rsid w:val="00A92BEC"/>
    <w:rsid w:val="00A93EA4"/>
    <w:rsid w:val="00A9442A"/>
    <w:rsid w:val="00A959AA"/>
    <w:rsid w:val="00A95B3B"/>
    <w:rsid w:val="00A96F0A"/>
    <w:rsid w:val="00A97886"/>
    <w:rsid w:val="00A97961"/>
    <w:rsid w:val="00A97C69"/>
    <w:rsid w:val="00A97D79"/>
    <w:rsid w:val="00A97DD5"/>
    <w:rsid w:val="00AA016F"/>
    <w:rsid w:val="00AA0CA6"/>
    <w:rsid w:val="00AA1984"/>
    <w:rsid w:val="00AA1ED6"/>
    <w:rsid w:val="00AA35B9"/>
    <w:rsid w:val="00AA3B59"/>
    <w:rsid w:val="00AA3DE4"/>
    <w:rsid w:val="00AA51D6"/>
    <w:rsid w:val="00AA584F"/>
    <w:rsid w:val="00AB0B21"/>
    <w:rsid w:val="00AB0BC8"/>
    <w:rsid w:val="00AB11CA"/>
    <w:rsid w:val="00AB14D9"/>
    <w:rsid w:val="00AB1616"/>
    <w:rsid w:val="00AB19AE"/>
    <w:rsid w:val="00AB1FE5"/>
    <w:rsid w:val="00AB2057"/>
    <w:rsid w:val="00AB2ECF"/>
    <w:rsid w:val="00AB4AB8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FA5"/>
    <w:rsid w:val="00AC29DA"/>
    <w:rsid w:val="00AC2ECD"/>
    <w:rsid w:val="00AC3119"/>
    <w:rsid w:val="00AC498D"/>
    <w:rsid w:val="00AC49FB"/>
    <w:rsid w:val="00AC4D27"/>
    <w:rsid w:val="00AC5A10"/>
    <w:rsid w:val="00AC6441"/>
    <w:rsid w:val="00AC6FFD"/>
    <w:rsid w:val="00AC72AA"/>
    <w:rsid w:val="00AC7C3C"/>
    <w:rsid w:val="00AC7FF9"/>
    <w:rsid w:val="00AD0642"/>
    <w:rsid w:val="00AD0AA3"/>
    <w:rsid w:val="00AD288D"/>
    <w:rsid w:val="00AD3F94"/>
    <w:rsid w:val="00AD4A5A"/>
    <w:rsid w:val="00AD696D"/>
    <w:rsid w:val="00AD6F9C"/>
    <w:rsid w:val="00AD7D69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C5D"/>
    <w:rsid w:val="00AF221E"/>
    <w:rsid w:val="00AF2B22"/>
    <w:rsid w:val="00AF3C0D"/>
    <w:rsid w:val="00AF3EE4"/>
    <w:rsid w:val="00AF42D7"/>
    <w:rsid w:val="00AF457F"/>
    <w:rsid w:val="00AF5157"/>
    <w:rsid w:val="00AF78ED"/>
    <w:rsid w:val="00AF7B02"/>
    <w:rsid w:val="00B006FE"/>
    <w:rsid w:val="00B00732"/>
    <w:rsid w:val="00B007CB"/>
    <w:rsid w:val="00B00AAB"/>
    <w:rsid w:val="00B02AA9"/>
    <w:rsid w:val="00B02FA3"/>
    <w:rsid w:val="00B02FF3"/>
    <w:rsid w:val="00B03E30"/>
    <w:rsid w:val="00B05084"/>
    <w:rsid w:val="00B05E98"/>
    <w:rsid w:val="00B07DD7"/>
    <w:rsid w:val="00B101E0"/>
    <w:rsid w:val="00B10E4C"/>
    <w:rsid w:val="00B130C7"/>
    <w:rsid w:val="00B132D1"/>
    <w:rsid w:val="00B133D4"/>
    <w:rsid w:val="00B1435A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1C6E"/>
    <w:rsid w:val="00B21E4F"/>
    <w:rsid w:val="00B2210E"/>
    <w:rsid w:val="00B227E6"/>
    <w:rsid w:val="00B248B0"/>
    <w:rsid w:val="00B26318"/>
    <w:rsid w:val="00B2763F"/>
    <w:rsid w:val="00B27AAC"/>
    <w:rsid w:val="00B27BF7"/>
    <w:rsid w:val="00B30065"/>
    <w:rsid w:val="00B30929"/>
    <w:rsid w:val="00B315AF"/>
    <w:rsid w:val="00B33012"/>
    <w:rsid w:val="00B3411D"/>
    <w:rsid w:val="00B342DC"/>
    <w:rsid w:val="00B35CAF"/>
    <w:rsid w:val="00B35F5E"/>
    <w:rsid w:val="00B36C4B"/>
    <w:rsid w:val="00B372AA"/>
    <w:rsid w:val="00B37BBF"/>
    <w:rsid w:val="00B40445"/>
    <w:rsid w:val="00B41888"/>
    <w:rsid w:val="00B41BC6"/>
    <w:rsid w:val="00B43E66"/>
    <w:rsid w:val="00B445BC"/>
    <w:rsid w:val="00B446EA"/>
    <w:rsid w:val="00B44EA9"/>
    <w:rsid w:val="00B45A52"/>
    <w:rsid w:val="00B46175"/>
    <w:rsid w:val="00B475E2"/>
    <w:rsid w:val="00B52E5B"/>
    <w:rsid w:val="00B5336F"/>
    <w:rsid w:val="00B536D4"/>
    <w:rsid w:val="00B53A00"/>
    <w:rsid w:val="00B54340"/>
    <w:rsid w:val="00B555C1"/>
    <w:rsid w:val="00B61138"/>
    <w:rsid w:val="00B61834"/>
    <w:rsid w:val="00B61E49"/>
    <w:rsid w:val="00B6253B"/>
    <w:rsid w:val="00B6329B"/>
    <w:rsid w:val="00B63A04"/>
    <w:rsid w:val="00B6408C"/>
    <w:rsid w:val="00B65587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9F6"/>
    <w:rsid w:val="00B77769"/>
    <w:rsid w:val="00B804B0"/>
    <w:rsid w:val="00B81A6C"/>
    <w:rsid w:val="00B84CBD"/>
    <w:rsid w:val="00B8566A"/>
    <w:rsid w:val="00B85839"/>
    <w:rsid w:val="00B85DE5"/>
    <w:rsid w:val="00B866AC"/>
    <w:rsid w:val="00B869D5"/>
    <w:rsid w:val="00B86BA3"/>
    <w:rsid w:val="00B86DAE"/>
    <w:rsid w:val="00B87918"/>
    <w:rsid w:val="00B90F73"/>
    <w:rsid w:val="00B911D2"/>
    <w:rsid w:val="00B914B1"/>
    <w:rsid w:val="00B9155B"/>
    <w:rsid w:val="00B922E8"/>
    <w:rsid w:val="00B92FD2"/>
    <w:rsid w:val="00B93B59"/>
    <w:rsid w:val="00B9406A"/>
    <w:rsid w:val="00B94C5A"/>
    <w:rsid w:val="00B9578F"/>
    <w:rsid w:val="00B95B8A"/>
    <w:rsid w:val="00B97825"/>
    <w:rsid w:val="00B97D24"/>
    <w:rsid w:val="00BA2280"/>
    <w:rsid w:val="00BA2437"/>
    <w:rsid w:val="00BA2A08"/>
    <w:rsid w:val="00BA2A57"/>
    <w:rsid w:val="00BA371C"/>
    <w:rsid w:val="00BA56D2"/>
    <w:rsid w:val="00BA5B3F"/>
    <w:rsid w:val="00BA633A"/>
    <w:rsid w:val="00BA76E0"/>
    <w:rsid w:val="00BA7F84"/>
    <w:rsid w:val="00BB0DE1"/>
    <w:rsid w:val="00BB2992"/>
    <w:rsid w:val="00BB29F5"/>
    <w:rsid w:val="00BB2A25"/>
    <w:rsid w:val="00BB4398"/>
    <w:rsid w:val="00BB51E9"/>
    <w:rsid w:val="00BB6BF3"/>
    <w:rsid w:val="00BB7AF1"/>
    <w:rsid w:val="00BC0FDC"/>
    <w:rsid w:val="00BC10BF"/>
    <w:rsid w:val="00BC159A"/>
    <w:rsid w:val="00BC1AA2"/>
    <w:rsid w:val="00BC2DA7"/>
    <w:rsid w:val="00BC3053"/>
    <w:rsid w:val="00BC3725"/>
    <w:rsid w:val="00BC3835"/>
    <w:rsid w:val="00BC43C2"/>
    <w:rsid w:val="00BC4D2E"/>
    <w:rsid w:val="00BC550C"/>
    <w:rsid w:val="00BC6381"/>
    <w:rsid w:val="00BC7235"/>
    <w:rsid w:val="00BC76FE"/>
    <w:rsid w:val="00BC776B"/>
    <w:rsid w:val="00BD0AAA"/>
    <w:rsid w:val="00BD2890"/>
    <w:rsid w:val="00BD4278"/>
    <w:rsid w:val="00BD48AC"/>
    <w:rsid w:val="00BD48E6"/>
    <w:rsid w:val="00BD4EA6"/>
    <w:rsid w:val="00BD53A8"/>
    <w:rsid w:val="00BD5EEC"/>
    <w:rsid w:val="00BD5F1A"/>
    <w:rsid w:val="00BD6B3C"/>
    <w:rsid w:val="00BD7A90"/>
    <w:rsid w:val="00BE01AD"/>
    <w:rsid w:val="00BE1234"/>
    <w:rsid w:val="00BE12E2"/>
    <w:rsid w:val="00BE2FA6"/>
    <w:rsid w:val="00BE333F"/>
    <w:rsid w:val="00BE34FC"/>
    <w:rsid w:val="00BE396C"/>
    <w:rsid w:val="00BE5468"/>
    <w:rsid w:val="00BE7406"/>
    <w:rsid w:val="00BE7603"/>
    <w:rsid w:val="00BF0B1D"/>
    <w:rsid w:val="00BF12EE"/>
    <w:rsid w:val="00BF1596"/>
    <w:rsid w:val="00BF3279"/>
    <w:rsid w:val="00BF3B4D"/>
    <w:rsid w:val="00BF3C7F"/>
    <w:rsid w:val="00BF4C11"/>
    <w:rsid w:val="00BF5A90"/>
    <w:rsid w:val="00BF69ED"/>
    <w:rsid w:val="00BF74C7"/>
    <w:rsid w:val="00C006E0"/>
    <w:rsid w:val="00C009E4"/>
    <w:rsid w:val="00C015F1"/>
    <w:rsid w:val="00C01F33"/>
    <w:rsid w:val="00C02CC6"/>
    <w:rsid w:val="00C040F7"/>
    <w:rsid w:val="00C044AB"/>
    <w:rsid w:val="00C044DB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A0"/>
    <w:rsid w:val="00C124D8"/>
    <w:rsid w:val="00C1250E"/>
    <w:rsid w:val="00C12E64"/>
    <w:rsid w:val="00C14BE0"/>
    <w:rsid w:val="00C14D4B"/>
    <w:rsid w:val="00C15176"/>
    <w:rsid w:val="00C154BB"/>
    <w:rsid w:val="00C157FB"/>
    <w:rsid w:val="00C15ABD"/>
    <w:rsid w:val="00C16695"/>
    <w:rsid w:val="00C16C69"/>
    <w:rsid w:val="00C20A8A"/>
    <w:rsid w:val="00C213B3"/>
    <w:rsid w:val="00C21534"/>
    <w:rsid w:val="00C224E3"/>
    <w:rsid w:val="00C225D7"/>
    <w:rsid w:val="00C22A90"/>
    <w:rsid w:val="00C22ED2"/>
    <w:rsid w:val="00C23725"/>
    <w:rsid w:val="00C24115"/>
    <w:rsid w:val="00C24BDE"/>
    <w:rsid w:val="00C24D72"/>
    <w:rsid w:val="00C24F6E"/>
    <w:rsid w:val="00C26710"/>
    <w:rsid w:val="00C279B5"/>
    <w:rsid w:val="00C27C45"/>
    <w:rsid w:val="00C326DD"/>
    <w:rsid w:val="00C3354C"/>
    <w:rsid w:val="00C33F45"/>
    <w:rsid w:val="00C34F5C"/>
    <w:rsid w:val="00C3719D"/>
    <w:rsid w:val="00C37E54"/>
    <w:rsid w:val="00C40AD2"/>
    <w:rsid w:val="00C40F43"/>
    <w:rsid w:val="00C41779"/>
    <w:rsid w:val="00C431FC"/>
    <w:rsid w:val="00C45066"/>
    <w:rsid w:val="00C47623"/>
    <w:rsid w:val="00C4795B"/>
    <w:rsid w:val="00C5115A"/>
    <w:rsid w:val="00C516E0"/>
    <w:rsid w:val="00C53FBF"/>
    <w:rsid w:val="00C54995"/>
    <w:rsid w:val="00C54D41"/>
    <w:rsid w:val="00C554CF"/>
    <w:rsid w:val="00C55D4E"/>
    <w:rsid w:val="00C56BFF"/>
    <w:rsid w:val="00C57E38"/>
    <w:rsid w:val="00C60783"/>
    <w:rsid w:val="00C6098D"/>
    <w:rsid w:val="00C61714"/>
    <w:rsid w:val="00C62E0F"/>
    <w:rsid w:val="00C64672"/>
    <w:rsid w:val="00C65171"/>
    <w:rsid w:val="00C65336"/>
    <w:rsid w:val="00C657A8"/>
    <w:rsid w:val="00C65A02"/>
    <w:rsid w:val="00C6660A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156B"/>
    <w:rsid w:val="00C71715"/>
    <w:rsid w:val="00C721A6"/>
    <w:rsid w:val="00C72735"/>
    <w:rsid w:val="00C72EF4"/>
    <w:rsid w:val="00C734C8"/>
    <w:rsid w:val="00C7406D"/>
    <w:rsid w:val="00C749EF"/>
    <w:rsid w:val="00C74A38"/>
    <w:rsid w:val="00C75D2F"/>
    <w:rsid w:val="00C767BE"/>
    <w:rsid w:val="00C76E3C"/>
    <w:rsid w:val="00C81568"/>
    <w:rsid w:val="00C8174F"/>
    <w:rsid w:val="00C81EAC"/>
    <w:rsid w:val="00C8359D"/>
    <w:rsid w:val="00C83DA8"/>
    <w:rsid w:val="00C83F26"/>
    <w:rsid w:val="00C8682D"/>
    <w:rsid w:val="00C9027A"/>
    <w:rsid w:val="00C90417"/>
    <w:rsid w:val="00C9068E"/>
    <w:rsid w:val="00C90E42"/>
    <w:rsid w:val="00C918CB"/>
    <w:rsid w:val="00C9302A"/>
    <w:rsid w:val="00C9324F"/>
    <w:rsid w:val="00C93C4B"/>
    <w:rsid w:val="00C944AB"/>
    <w:rsid w:val="00C951F0"/>
    <w:rsid w:val="00C95B40"/>
    <w:rsid w:val="00C9633C"/>
    <w:rsid w:val="00C96C85"/>
    <w:rsid w:val="00CA177B"/>
    <w:rsid w:val="00CA1ED8"/>
    <w:rsid w:val="00CA22E1"/>
    <w:rsid w:val="00CA293D"/>
    <w:rsid w:val="00CA2A9A"/>
    <w:rsid w:val="00CA33F2"/>
    <w:rsid w:val="00CA395E"/>
    <w:rsid w:val="00CA4BBD"/>
    <w:rsid w:val="00CA5609"/>
    <w:rsid w:val="00CA5A73"/>
    <w:rsid w:val="00CB00AD"/>
    <w:rsid w:val="00CB1F63"/>
    <w:rsid w:val="00CB3ACC"/>
    <w:rsid w:val="00CB44EB"/>
    <w:rsid w:val="00CB4738"/>
    <w:rsid w:val="00CB5EBC"/>
    <w:rsid w:val="00CB64E5"/>
    <w:rsid w:val="00CB64E9"/>
    <w:rsid w:val="00CB7170"/>
    <w:rsid w:val="00CB799E"/>
    <w:rsid w:val="00CC040E"/>
    <w:rsid w:val="00CC1028"/>
    <w:rsid w:val="00CC111F"/>
    <w:rsid w:val="00CC18A6"/>
    <w:rsid w:val="00CC192B"/>
    <w:rsid w:val="00CC2011"/>
    <w:rsid w:val="00CC21A5"/>
    <w:rsid w:val="00CC3EA0"/>
    <w:rsid w:val="00CC7B45"/>
    <w:rsid w:val="00CC7F71"/>
    <w:rsid w:val="00CD0A37"/>
    <w:rsid w:val="00CD1188"/>
    <w:rsid w:val="00CD2ED1"/>
    <w:rsid w:val="00CD337B"/>
    <w:rsid w:val="00CD4628"/>
    <w:rsid w:val="00CD67BA"/>
    <w:rsid w:val="00CD6F1E"/>
    <w:rsid w:val="00CD7FE4"/>
    <w:rsid w:val="00CE0424"/>
    <w:rsid w:val="00CE2030"/>
    <w:rsid w:val="00CE2C2F"/>
    <w:rsid w:val="00CE2DE8"/>
    <w:rsid w:val="00CE34DB"/>
    <w:rsid w:val="00CE4AD2"/>
    <w:rsid w:val="00CE4EBA"/>
    <w:rsid w:val="00CE50EE"/>
    <w:rsid w:val="00CE5650"/>
    <w:rsid w:val="00CE6B10"/>
    <w:rsid w:val="00CE7561"/>
    <w:rsid w:val="00CF1354"/>
    <w:rsid w:val="00CF1ABC"/>
    <w:rsid w:val="00CF3B1F"/>
    <w:rsid w:val="00CF3BF6"/>
    <w:rsid w:val="00CF3E4A"/>
    <w:rsid w:val="00CF4C4F"/>
    <w:rsid w:val="00CF5B3D"/>
    <w:rsid w:val="00CF625B"/>
    <w:rsid w:val="00CF687E"/>
    <w:rsid w:val="00CF70B8"/>
    <w:rsid w:val="00CF7764"/>
    <w:rsid w:val="00D00118"/>
    <w:rsid w:val="00D02520"/>
    <w:rsid w:val="00D02C0E"/>
    <w:rsid w:val="00D0349B"/>
    <w:rsid w:val="00D045F6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204C"/>
    <w:rsid w:val="00D13135"/>
    <w:rsid w:val="00D13757"/>
    <w:rsid w:val="00D13E4E"/>
    <w:rsid w:val="00D14351"/>
    <w:rsid w:val="00D15919"/>
    <w:rsid w:val="00D15998"/>
    <w:rsid w:val="00D15D7C"/>
    <w:rsid w:val="00D21023"/>
    <w:rsid w:val="00D21845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5D1D"/>
    <w:rsid w:val="00D272FE"/>
    <w:rsid w:val="00D27759"/>
    <w:rsid w:val="00D3041F"/>
    <w:rsid w:val="00D309EB"/>
    <w:rsid w:val="00D30F7A"/>
    <w:rsid w:val="00D312DB"/>
    <w:rsid w:val="00D31A61"/>
    <w:rsid w:val="00D31AB5"/>
    <w:rsid w:val="00D327D2"/>
    <w:rsid w:val="00D3297E"/>
    <w:rsid w:val="00D32D64"/>
    <w:rsid w:val="00D34123"/>
    <w:rsid w:val="00D3412C"/>
    <w:rsid w:val="00D34253"/>
    <w:rsid w:val="00D349E6"/>
    <w:rsid w:val="00D34B14"/>
    <w:rsid w:val="00D35637"/>
    <w:rsid w:val="00D36755"/>
    <w:rsid w:val="00D36B06"/>
    <w:rsid w:val="00D36E71"/>
    <w:rsid w:val="00D37D87"/>
    <w:rsid w:val="00D40B33"/>
    <w:rsid w:val="00D41490"/>
    <w:rsid w:val="00D41E69"/>
    <w:rsid w:val="00D42942"/>
    <w:rsid w:val="00D4318F"/>
    <w:rsid w:val="00D438BF"/>
    <w:rsid w:val="00D43B5C"/>
    <w:rsid w:val="00D43E89"/>
    <w:rsid w:val="00D440F8"/>
    <w:rsid w:val="00D46D01"/>
    <w:rsid w:val="00D51FEB"/>
    <w:rsid w:val="00D523BE"/>
    <w:rsid w:val="00D546FF"/>
    <w:rsid w:val="00D5513F"/>
    <w:rsid w:val="00D5534A"/>
    <w:rsid w:val="00D55AD5"/>
    <w:rsid w:val="00D576CA"/>
    <w:rsid w:val="00D6067A"/>
    <w:rsid w:val="00D61AF5"/>
    <w:rsid w:val="00D63714"/>
    <w:rsid w:val="00D640DA"/>
    <w:rsid w:val="00D64724"/>
    <w:rsid w:val="00D652B5"/>
    <w:rsid w:val="00D65796"/>
    <w:rsid w:val="00D65F70"/>
    <w:rsid w:val="00D66155"/>
    <w:rsid w:val="00D669C6"/>
    <w:rsid w:val="00D67097"/>
    <w:rsid w:val="00D708B0"/>
    <w:rsid w:val="00D70D3B"/>
    <w:rsid w:val="00D7189E"/>
    <w:rsid w:val="00D71D16"/>
    <w:rsid w:val="00D71DF2"/>
    <w:rsid w:val="00D72808"/>
    <w:rsid w:val="00D729A3"/>
    <w:rsid w:val="00D7479E"/>
    <w:rsid w:val="00D75B91"/>
    <w:rsid w:val="00D75C74"/>
    <w:rsid w:val="00D75E89"/>
    <w:rsid w:val="00D76524"/>
    <w:rsid w:val="00D77407"/>
    <w:rsid w:val="00D77606"/>
    <w:rsid w:val="00D77B1D"/>
    <w:rsid w:val="00D77B31"/>
    <w:rsid w:val="00D8021F"/>
    <w:rsid w:val="00D80383"/>
    <w:rsid w:val="00D81C94"/>
    <w:rsid w:val="00D81F41"/>
    <w:rsid w:val="00D821CE"/>
    <w:rsid w:val="00D823C6"/>
    <w:rsid w:val="00D829E6"/>
    <w:rsid w:val="00D82E87"/>
    <w:rsid w:val="00D83AB7"/>
    <w:rsid w:val="00D83F8E"/>
    <w:rsid w:val="00D83F9F"/>
    <w:rsid w:val="00D854BE"/>
    <w:rsid w:val="00D85BD2"/>
    <w:rsid w:val="00D86CA3"/>
    <w:rsid w:val="00D871CE"/>
    <w:rsid w:val="00D90275"/>
    <w:rsid w:val="00D9196D"/>
    <w:rsid w:val="00D91F2B"/>
    <w:rsid w:val="00D92982"/>
    <w:rsid w:val="00D93A32"/>
    <w:rsid w:val="00D93B70"/>
    <w:rsid w:val="00D9453C"/>
    <w:rsid w:val="00D95CEE"/>
    <w:rsid w:val="00D96FCE"/>
    <w:rsid w:val="00DA0D90"/>
    <w:rsid w:val="00DA18D1"/>
    <w:rsid w:val="00DA1B30"/>
    <w:rsid w:val="00DA2FA3"/>
    <w:rsid w:val="00DA305E"/>
    <w:rsid w:val="00DA378F"/>
    <w:rsid w:val="00DA3F78"/>
    <w:rsid w:val="00DA5417"/>
    <w:rsid w:val="00DA56E8"/>
    <w:rsid w:val="00DA5851"/>
    <w:rsid w:val="00DA75F8"/>
    <w:rsid w:val="00DA7D5F"/>
    <w:rsid w:val="00DB0A9F"/>
    <w:rsid w:val="00DB0F06"/>
    <w:rsid w:val="00DB1CCD"/>
    <w:rsid w:val="00DB1F42"/>
    <w:rsid w:val="00DB2E80"/>
    <w:rsid w:val="00DB3185"/>
    <w:rsid w:val="00DB377D"/>
    <w:rsid w:val="00DB3F3F"/>
    <w:rsid w:val="00DB4F87"/>
    <w:rsid w:val="00DB74C2"/>
    <w:rsid w:val="00DB7BDB"/>
    <w:rsid w:val="00DC074F"/>
    <w:rsid w:val="00DC088E"/>
    <w:rsid w:val="00DC0F09"/>
    <w:rsid w:val="00DC15B8"/>
    <w:rsid w:val="00DC1750"/>
    <w:rsid w:val="00DC213E"/>
    <w:rsid w:val="00DC2D36"/>
    <w:rsid w:val="00DC4604"/>
    <w:rsid w:val="00DC47CE"/>
    <w:rsid w:val="00DC53EF"/>
    <w:rsid w:val="00DC6627"/>
    <w:rsid w:val="00DC7AAE"/>
    <w:rsid w:val="00DD0342"/>
    <w:rsid w:val="00DD0610"/>
    <w:rsid w:val="00DD162F"/>
    <w:rsid w:val="00DD184D"/>
    <w:rsid w:val="00DD272F"/>
    <w:rsid w:val="00DD2D64"/>
    <w:rsid w:val="00DD5895"/>
    <w:rsid w:val="00DD61F3"/>
    <w:rsid w:val="00DE0A79"/>
    <w:rsid w:val="00DE0FA2"/>
    <w:rsid w:val="00DE11A8"/>
    <w:rsid w:val="00DE14CF"/>
    <w:rsid w:val="00DE1C64"/>
    <w:rsid w:val="00DE2179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68DD"/>
    <w:rsid w:val="00DF6C09"/>
    <w:rsid w:val="00DF6E4E"/>
    <w:rsid w:val="00DF70D1"/>
    <w:rsid w:val="00DF7192"/>
    <w:rsid w:val="00DF7844"/>
    <w:rsid w:val="00DF7983"/>
    <w:rsid w:val="00E02DD1"/>
    <w:rsid w:val="00E0315A"/>
    <w:rsid w:val="00E03780"/>
    <w:rsid w:val="00E0393B"/>
    <w:rsid w:val="00E0440F"/>
    <w:rsid w:val="00E045B2"/>
    <w:rsid w:val="00E04B6A"/>
    <w:rsid w:val="00E05081"/>
    <w:rsid w:val="00E064D3"/>
    <w:rsid w:val="00E06CA4"/>
    <w:rsid w:val="00E077E0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3F5C"/>
    <w:rsid w:val="00E14655"/>
    <w:rsid w:val="00E15590"/>
    <w:rsid w:val="00E15715"/>
    <w:rsid w:val="00E16C1B"/>
    <w:rsid w:val="00E17312"/>
    <w:rsid w:val="00E178DD"/>
    <w:rsid w:val="00E17FA2"/>
    <w:rsid w:val="00E20BFB"/>
    <w:rsid w:val="00E21504"/>
    <w:rsid w:val="00E21843"/>
    <w:rsid w:val="00E21AC1"/>
    <w:rsid w:val="00E21F11"/>
    <w:rsid w:val="00E22330"/>
    <w:rsid w:val="00E22364"/>
    <w:rsid w:val="00E25748"/>
    <w:rsid w:val="00E25D51"/>
    <w:rsid w:val="00E260C4"/>
    <w:rsid w:val="00E30B5A"/>
    <w:rsid w:val="00E3123D"/>
    <w:rsid w:val="00E31461"/>
    <w:rsid w:val="00E31770"/>
    <w:rsid w:val="00E31CBF"/>
    <w:rsid w:val="00E31D43"/>
    <w:rsid w:val="00E31EE3"/>
    <w:rsid w:val="00E32608"/>
    <w:rsid w:val="00E32C33"/>
    <w:rsid w:val="00E34188"/>
    <w:rsid w:val="00E34B6E"/>
    <w:rsid w:val="00E35559"/>
    <w:rsid w:val="00E3581C"/>
    <w:rsid w:val="00E35DA5"/>
    <w:rsid w:val="00E3667B"/>
    <w:rsid w:val="00E3723A"/>
    <w:rsid w:val="00E37824"/>
    <w:rsid w:val="00E37860"/>
    <w:rsid w:val="00E40290"/>
    <w:rsid w:val="00E41887"/>
    <w:rsid w:val="00E41982"/>
    <w:rsid w:val="00E421E9"/>
    <w:rsid w:val="00E42DD7"/>
    <w:rsid w:val="00E430B8"/>
    <w:rsid w:val="00E434B5"/>
    <w:rsid w:val="00E440C3"/>
    <w:rsid w:val="00E440E6"/>
    <w:rsid w:val="00E44203"/>
    <w:rsid w:val="00E446F1"/>
    <w:rsid w:val="00E45931"/>
    <w:rsid w:val="00E460CD"/>
    <w:rsid w:val="00E46886"/>
    <w:rsid w:val="00E47AEF"/>
    <w:rsid w:val="00E500D0"/>
    <w:rsid w:val="00E51DEE"/>
    <w:rsid w:val="00E52125"/>
    <w:rsid w:val="00E525F8"/>
    <w:rsid w:val="00E527FA"/>
    <w:rsid w:val="00E53B75"/>
    <w:rsid w:val="00E54E3B"/>
    <w:rsid w:val="00E57532"/>
    <w:rsid w:val="00E57565"/>
    <w:rsid w:val="00E577A3"/>
    <w:rsid w:val="00E57BCB"/>
    <w:rsid w:val="00E61D41"/>
    <w:rsid w:val="00E63838"/>
    <w:rsid w:val="00E642D8"/>
    <w:rsid w:val="00E64434"/>
    <w:rsid w:val="00E6645E"/>
    <w:rsid w:val="00E67C51"/>
    <w:rsid w:val="00E70446"/>
    <w:rsid w:val="00E70887"/>
    <w:rsid w:val="00E7233A"/>
    <w:rsid w:val="00E72EFC"/>
    <w:rsid w:val="00E72F31"/>
    <w:rsid w:val="00E7418E"/>
    <w:rsid w:val="00E7476F"/>
    <w:rsid w:val="00E74EF5"/>
    <w:rsid w:val="00E758EC"/>
    <w:rsid w:val="00E76517"/>
    <w:rsid w:val="00E768EA"/>
    <w:rsid w:val="00E76AA8"/>
    <w:rsid w:val="00E76B2B"/>
    <w:rsid w:val="00E774DD"/>
    <w:rsid w:val="00E80BFF"/>
    <w:rsid w:val="00E8234C"/>
    <w:rsid w:val="00E83AA9"/>
    <w:rsid w:val="00E83B3C"/>
    <w:rsid w:val="00E83F88"/>
    <w:rsid w:val="00E84A37"/>
    <w:rsid w:val="00E84D1A"/>
    <w:rsid w:val="00E853D0"/>
    <w:rsid w:val="00E85928"/>
    <w:rsid w:val="00E85DB0"/>
    <w:rsid w:val="00E862F3"/>
    <w:rsid w:val="00E869A1"/>
    <w:rsid w:val="00E87524"/>
    <w:rsid w:val="00E875F8"/>
    <w:rsid w:val="00E87822"/>
    <w:rsid w:val="00E90395"/>
    <w:rsid w:val="00E90E49"/>
    <w:rsid w:val="00E91452"/>
    <w:rsid w:val="00E917F9"/>
    <w:rsid w:val="00E91EF0"/>
    <w:rsid w:val="00E9291C"/>
    <w:rsid w:val="00E93FFE"/>
    <w:rsid w:val="00E94341"/>
    <w:rsid w:val="00E94575"/>
    <w:rsid w:val="00E94F8A"/>
    <w:rsid w:val="00E9512E"/>
    <w:rsid w:val="00E959CF"/>
    <w:rsid w:val="00E95F1C"/>
    <w:rsid w:val="00E96A1C"/>
    <w:rsid w:val="00E96B49"/>
    <w:rsid w:val="00E97612"/>
    <w:rsid w:val="00E97AFB"/>
    <w:rsid w:val="00EA243A"/>
    <w:rsid w:val="00EA2EE5"/>
    <w:rsid w:val="00EA2F5B"/>
    <w:rsid w:val="00EA49DF"/>
    <w:rsid w:val="00EA5FF7"/>
    <w:rsid w:val="00EA632D"/>
    <w:rsid w:val="00EA6ED4"/>
    <w:rsid w:val="00EA7A41"/>
    <w:rsid w:val="00EB077B"/>
    <w:rsid w:val="00EB1D21"/>
    <w:rsid w:val="00EB399E"/>
    <w:rsid w:val="00EB4EA2"/>
    <w:rsid w:val="00EB50BE"/>
    <w:rsid w:val="00EB71EA"/>
    <w:rsid w:val="00EB7BFD"/>
    <w:rsid w:val="00EC08EA"/>
    <w:rsid w:val="00EC0A1C"/>
    <w:rsid w:val="00EC27C6"/>
    <w:rsid w:val="00EC29A7"/>
    <w:rsid w:val="00EC2F7B"/>
    <w:rsid w:val="00EC36BF"/>
    <w:rsid w:val="00EC4207"/>
    <w:rsid w:val="00EC46AB"/>
    <w:rsid w:val="00EC5653"/>
    <w:rsid w:val="00EC616F"/>
    <w:rsid w:val="00EC71CE"/>
    <w:rsid w:val="00EC740B"/>
    <w:rsid w:val="00ED0393"/>
    <w:rsid w:val="00ED0E7A"/>
    <w:rsid w:val="00ED1006"/>
    <w:rsid w:val="00ED1895"/>
    <w:rsid w:val="00ED42B3"/>
    <w:rsid w:val="00ED4D1B"/>
    <w:rsid w:val="00ED5012"/>
    <w:rsid w:val="00ED51BF"/>
    <w:rsid w:val="00ED51DE"/>
    <w:rsid w:val="00ED5A72"/>
    <w:rsid w:val="00ED7454"/>
    <w:rsid w:val="00EE4874"/>
    <w:rsid w:val="00EE6075"/>
    <w:rsid w:val="00EE6434"/>
    <w:rsid w:val="00EF0166"/>
    <w:rsid w:val="00EF054D"/>
    <w:rsid w:val="00EF18FE"/>
    <w:rsid w:val="00EF2322"/>
    <w:rsid w:val="00EF240E"/>
    <w:rsid w:val="00EF279B"/>
    <w:rsid w:val="00EF2AF9"/>
    <w:rsid w:val="00EF348C"/>
    <w:rsid w:val="00EF3E57"/>
    <w:rsid w:val="00EF456C"/>
    <w:rsid w:val="00EF4976"/>
    <w:rsid w:val="00EF4E8E"/>
    <w:rsid w:val="00EF5787"/>
    <w:rsid w:val="00EF580F"/>
    <w:rsid w:val="00EF60D0"/>
    <w:rsid w:val="00EF652B"/>
    <w:rsid w:val="00EF718B"/>
    <w:rsid w:val="00EF721D"/>
    <w:rsid w:val="00EF79BB"/>
    <w:rsid w:val="00F002A6"/>
    <w:rsid w:val="00F007B1"/>
    <w:rsid w:val="00F042BE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1CFC"/>
    <w:rsid w:val="00F11EFB"/>
    <w:rsid w:val="00F13CE9"/>
    <w:rsid w:val="00F14976"/>
    <w:rsid w:val="00F150A7"/>
    <w:rsid w:val="00F1546E"/>
    <w:rsid w:val="00F15FA5"/>
    <w:rsid w:val="00F16C0F"/>
    <w:rsid w:val="00F16CDF"/>
    <w:rsid w:val="00F17B47"/>
    <w:rsid w:val="00F2024F"/>
    <w:rsid w:val="00F209B7"/>
    <w:rsid w:val="00F2215B"/>
    <w:rsid w:val="00F226FF"/>
    <w:rsid w:val="00F22B70"/>
    <w:rsid w:val="00F23200"/>
    <w:rsid w:val="00F2345B"/>
    <w:rsid w:val="00F236BD"/>
    <w:rsid w:val="00F2376F"/>
    <w:rsid w:val="00F2388F"/>
    <w:rsid w:val="00F243D8"/>
    <w:rsid w:val="00F25A9C"/>
    <w:rsid w:val="00F25C10"/>
    <w:rsid w:val="00F2794A"/>
    <w:rsid w:val="00F30099"/>
    <w:rsid w:val="00F30450"/>
    <w:rsid w:val="00F30828"/>
    <w:rsid w:val="00F30D69"/>
    <w:rsid w:val="00F313D6"/>
    <w:rsid w:val="00F32D13"/>
    <w:rsid w:val="00F34567"/>
    <w:rsid w:val="00F345DC"/>
    <w:rsid w:val="00F3530A"/>
    <w:rsid w:val="00F400E4"/>
    <w:rsid w:val="00F40F0C"/>
    <w:rsid w:val="00F42E71"/>
    <w:rsid w:val="00F43835"/>
    <w:rsid w:val="00F46B01"/>
    <w:rsid w:val="00F4735F"/>
    <w:rsid w:val="00F4766C"/>
    <w:rsid w:val="00F47AC9"/>
    <w:rsid w:val="00F47D80"/>
    <w:rsid w:val="00F5003F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26F4"/>
    <w:rsid w:val="00F536D1"/>
    <w:rsid w:val="00F54231"/>
    <w:rsid w:val="00F54328"/>
    <w:rsid w:val="00F55C81"/>
    <w:rsid w:val="00F56007"/>
    <w:rsid w:val="00F5638D"/>
    <w:rsid w:val="00F575FD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36D"/>
    <w:rsid w:val="00F6448F"/>
    <w:rsid w:val="00F648CC"/>
    <w:rsid w:val="00F64C2B"/>
    <w:rsid w:val="00F650A5"/>
    <w:rsid w:val="00F651BE"/>
    <w:rsid w:val="00F67EBF"/>
    <w:rsid w:val="00F67F36"/>
    <w:rsid w:val="00F67F53"/>
    <w:rsid w:val="00F703BE"/>
    <w:rsid w:val="00F70F6A"/>
    <w:rsid w:val="00F71F69"/>
    <w:rsid w:val="00F72AFA"/>
    <w:rsid w:val="00F72B72"/>
    <w:rsid w:val="00F72B7D"/>
    <w:rsid w:val="00F72CEC"/>
    <w:rsid w:val="00F74BB9"/>
    <w:rsid w:val="00F75496"/>
    <w:rsid w:val="00F75582"/>
    <w:rsid w:val="00F76EFA"/>
    <w:rsid w:val="00F774C7"/>
    <w:rsid w:val="00F777D3"/>
    <w:rsid w:val="00F77ED4"/>
    <w:rsid w:val="00F804BE"/>
    <w:rsid w:val="00F817CE"/>
    <w:rsid w:val="00F81D10"/>
    <w:rsid w:val="00F82F14"/>
    <w:rsid w:val="00F82FD6"/>
    <w:rsid w:val="00F82FDD"/>
    <w:rsid w:val="00F8456C"/>
    <w:rsid w:val="00F8516E"/>
    <w:rsid w:val="00F859D8"/>
    <w:rsid w:val="00F85F5E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18F7"/>
    <w:rsid w:val="00F925DF"/>
    <w:rsid w:val="00F92782"/>
    <w:rsid w:val="00F93AA9"/>
    <w:rsid w:val="00F95902"/>
    <w:rsid w:val="00F95E69"/>
    <w:rsid w:val="00F96439"/>
    <w:rsid w:val="00F96985"/>
    <w:rsid w:val="00F96BB8"/>
    <w:rsid w:val="00F974A1"/>
    <w:rsid w:val="00F97838"/>
    <w:rsid w:val="00FA0390"/>
    <w:rsid w:val="00FA2BB3"/>
    <w:rsid w:val="00FA2C50"/>
    <w:rsid w:val="00FA2E5B"/>
    <w:rsid w:val="00FA3AAA"/>
    <w:rsid w:val="00FA446D"/>
    <w:rsid w:val="00FA50EC"/>
    <w:rsid w:val="00FA6713"/>
    <w:rsid w:val="00FA794B"/>
    <w:rsid w:val="00FB034E"/>
    <w:rsid w:val="00FB0489"/>
    <w:rsid w:val="00FB18CB"/>
    <w:rsid w:val="00FB1DC8"/>
    <w:rsid w:val="00FB2D95"/>
    <w:rsid w:val="00FB3987"/>
    <w:rsid w:val="00FB4C80"/>
    <w:rsid w:val="00FB5C29"/>
    <w:rsid w:val="00FB6A6A"/>
    <w:rsid w:val="00FB6E41"/>
    <w:rsid w:val="00FB7048"/>
    <w:rsid w:val="00FB75FA"/>
    <w:rsid w:val="00FB77E4"/>
    <w:rsid w:val="00FB782E"/>
    <w:rsid w:val="00FB7DEA"/>
    <w:rsid w:val="00FC00AE"/>
    <w:rsid w:val="00FC0E49"/>
    <w:rsid w:val="00FC0F0B"/>
    <w:rsid w:val="00FC1EBC"/>
    <w:rsid w:val="00FC2C12"/>
    <w:rsid w:val="00FC395F"/>
    <w:rsid w:val="00FC43E2"/>
    <w:rsid w:val="00FC5D10"/>
    <w:rsid w:val="00FC6636"/>
    <w:rsid w:val="00FC7429"/>
    <w:rsid w:val="00FD060E"/>
    <w:rsid w:val="00FD07F6"/>
    <w:rsid w:val="00FD0845"/>
    <w:rsid w:val="00FD1BE3"/>
    <w:rsid w:val="00FD1EC8"/>
    <w:rsid w:val="00FD37F0"/>
    <w:rsid w:val="00FD47ED"/>
    <w:rsid w:val="00FD4C23"/>
    <w:rsid w:val="00FD5AB9"/>
    <w:rsid w:val="00FD74DB"/>
    <w:rsid w:val="00FD7660"/>
    <w:rsid w:val="00FE0655"/>
    <w:rsid w:val="00FE08D3"/>
    <w:rsid w:val="00FE2365"/>
    <w:rsid w:val="00FE252B"/>
    <w:rsid w:val="00FE2C65"/>
    <w:rsid w:val="00FE30E9"/>
    <w:rsid w:val="00FE37D7"/>
    <w:rsid w:val="00FE42EE"/>
    <w:rsid w:val="00FE4A94"/>
    <w:rsid w:val="00FE4C7B"/>
    <w:rsid w:val="00FE54CD"/>
    <w:rsid w:val="00FE5E3A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FDF"/>
    <w:rsid w:val="00FF45A5"/>
    <w:rsid w:val="00FF519D"/>
    <w:rsid w:val="00FF59D4"/>
    <w:rsid w:val="00FF5C91"/>
    <w:rsid w:val="00FF694A"/>
    <w:rsid w:val="00FF6E8E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3460C47"/>
  <w15:docId w15:val="{D25705A2-C5C8-4266-853E-9DC2CC9C4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Pr>
      <w:sz w:val="16"/>
      <w:szCs w:val="16"/>
    </w:rPr>
  </w:style>
  <w:style w:type="character" w:styleId="a5">
    <w:name w:val="Hyperlink"/>
    <w:uiPriority w:val="99"/>
    <w:qFormat/>
    <w:rPr>
      <w:color w:val="0000FF"/>
      <w:u w:val="single"/>
      <w:lang w:val="en-GB"/>
    </w:rPr>
  </w:style>
  <w:style w:type="character" w:styleId="a6">
    <w:name w:val="page number"/>
    <w:basedOn w:val="a1"/>
    <w:semiHidden/>
  </w:style>
  <w:style w:type="character" w:styleId="a7">
    <w:name w:val="FollowedHyperlink"/>
    <w:semiHidden/>
    <w:rPr>
      <w:color w:val="FF0000"/>
      <w:u w:val="single"/>
    </w:rPr>
  </w:style>
  <w:style w:type="character" w:styleId="a8">
    <w:name w:val="footnote reference"/>
    <w:semiHidden/>
    <w:rPr>
      <w:b/>
      <w:bCs/>
      <w:position w:val="6"/>
      <w:sz w:val="16"/>
      <w:szCs w:val="16"/>
    </w:rPr>
  </w:style>
  <w:style w:type="character" w:customStyle="1" w:styleId="a9">
    <w:name w:val="页脚 字符"/>
    <w:link w:val="aa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b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1">
    <w:name w:val="正文文本 字符1"/>
    <w:link w:val="ac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link w:val="ae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">
    <w:name w:val="正文文本 字符"/>
    <w:rPr>
      <w:rFonts w:ascii="Arial" w:hAnsi="Arial"/>
      <w:lang w:val="en-GB"/>
    </w:rPr>
  </w:style>
  <w:style w:type="paragraph" w:styleId="ac">
    <w:name w:val="Body Text"/>
    <w:basedOn w:val="a0"/>
    <w:link w:val="11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f0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af1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e">
    <w:name w:val="header"/>
    <w:link w:val="ad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0">
    <w:name w:val="List Bullet 3"/>
    <w:basedOn w:val="20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1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0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1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2">
    <w:name w:val="List"/>
    <w:basedOn w:val="a0"/>
    <w:pPr>
      <w:ind w:left="568" w:hanging="284"/>
    </w:pPr>
  </w:style>
  <w:style w:type="paragraph" w:styleId="20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af3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c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footer"/>
    <w:basedOn w:val="ae"/>
    <w:link w:val="a9"/>
    <w:uiPriority w:val="99"/>
    <w:qFormat/>
    <w:pPr>
      <w:jc w:val="center"/>
    </w:pPr>
    <w:rPr>
      <w:i/>
      <w:iCs/>
    </w:rPr>
  </w:style>
  <w:style w:type="paragraph" w:styleId="50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4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af5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1">
    <w:name w:val="List Number 2"/>
    <w:basedOn w:val="af6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2"/>
    <w:link w:val="B2Char"/>
    <w:qFormat/>
    <w:pPr>
      <w:spacing w:after="180"/>
      <w:jc w:val="left"/>
    </w:pPr>
    <w:rPr>
      <w:lang w:eastAsia="en-US"/>
    </w:rPr>
  </w:style>
  <w:style w:type="paragraph" w:styleId="af7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"/>
    <w:basedOn w:val="a0"/>
    <w:link w:val="af8"/>
    <w:uiPriority w:val="34"/>
    <w:qFormat/>
    <w:pPr>
      <w:ind w:left="720"/>
      <w:contextualSpacing/>
    </w:pPr>
  </w:style>
  <w:style w:type="paragraph" w:styleId="af9">
    <w:name w:val="annotation subject"/>
    <w:basedOn w:val="afa"/>
    <w:next w:val="afa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2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2">
    <w:name w:val="List 2"/>
    <w:basedOn w:val="af2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1">
    <w:name w:val="List 3"/>
    <w:basedOn w:val="22"/>
    <w:pPr>
      <w:ind w:left="1135"/>
    </w:pPr>
  </w:style>
  <w:style w:type="paragraph" w:styleId="41">
    <w:name w:val="List 4"/>
    <w:basedOn w:val="31"/>
    <w:pPr>
      <w:ind w:left="1418"/>
    </w:p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1">
    <w:name w:val="List 5"/>
    <w:basedOn w:val="41"/>
    <w:pPr>
      <w:ind w:left="1702"/>
    </w:pPr>
  </w:style>
  <w:style w:type="paragraph" w:customStyle="1" w:styleId="Figure">
    <w:name w:val="Figure"/>
    <w:basedOn w:val="a0"/>
    <w:next w:val="af5"/>
    <w:pPr>
      <w:keepNext/>
      <w:keepLines/>
      <w:spacing w:before="180"/>
      <w:jc w:val="center"/>
    </w:pPr>
  </w:style>
  <w:style w:type="paragraph" w:styleId="afa">
    <w:name w:val="annotation text"/>
    <w:basedOn w:val="a0"/>
    <w:link w:val="afb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af6">
    <w:name w:val="List Number"/>
    <w:basedOn w:val="af2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a0"/>
    <w:qFormat/>
    <w:pPr>
      <w:tabs>
        <w:tab w:val="left" w:pos="1701"/>
      </w:tabs>
    </w:pPr>
    <w:rPr>
      <w:b/>
      <w:bCs/>
    </w:rPr>
  </w:style>
  <w:style w:type="paragraph" w:styleId="23">
    <w:name w:val="index 2"/>
    <w:basedOn w:val="12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1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8"/>
      </w:numPr>
      <w:tabs>
        <w:tab w:val="left" w:pos="1304"/>
      </w:tabs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9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10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afa"/>
    <w:next w:val="afa"/>
    <w:semiHidden/>
    <w:pPr>
      <w:numPr>
        <w:numId w:val="11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afc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批注文字 字符"/>
    <w:link w:val="afa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a0"/>
    <w:rsid w:val="00616509"/>
    <w:pPr>
      <w:numPr>
        <w:numId w:val="13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8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7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uiPriority w:val="99"/>
    <w:qFormat/>
    <w:rsid w:val="005C58E5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30206B"/>
    <w:rPr>
      <w:rFonts w:ascii="Arial" w:hAnsi="Arial"/>
      <w:color w:val="FF0000"/>
      <w:lang w:val="en-GB" w:eastAsia="en-US"/>
    </w:rPr>
  </w:style>
  <w:style w:type="character" w:customStyle="1" w:styleId="EQChar">
    <w:name w:val="EQ Char"/>
    <w:link w:val="EQ"/>
    <w:qFormat/>
    <w:rsid w:val="004B4EC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2040EB-0128-4254-85DF-29B82AD8D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AD4FEDA-FB66-458B-B540-FE08EAC2C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22</TotalTime>
  <Pages>1</Pages>
  <Words>904</Words>
  <Characters>5159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OPPO</vt:lpstr>
      <vt:lpstr>OPPO</vt:lpstr>
    </vt:vector>
  </TitlesOfParts>
  <Company/>
  <LinksUpToDate>false</LinksUpToDate>
  <CharactersWithSpaces>6051</CharactersWithSpaces>
  <SharedDoc>false</SharedDoc>
  <HLinks>
    <vt:vector size="48" baseType="variant">
      <vt:variant>
        <vt:i4>1572917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_Toc46150408</vt:lpwstr>
      </vt:variant>
      <vt:variant>
        <vt:i4>1507381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_Toc46150407</vt:lpwstr>
      </vt:variant>
      <vt:variant>
        <vt:i4>1441845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_Toc46150406</vt:lpwstr>
      </vt:variant>
      <vt:variant>
        <vt:i4>1376309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_Toc46150405</vt:lpwstr>
      </vt:variant>
      <vt:variant>
        <vt:i4>1310773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_Toc46150404</vt:lpwstr>
      </vt:variant>
      <vt:variant>
        <vt:i4>1245237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_Toc46150403</vt:lpwstr>
      </vt:variant>
      <vt:variant>
        <vt:i4>1179701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_Toc46150402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_Toc46150401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cp:lastModifiedBy>OPPO (Qianxi)</cp:lastModifiedBy>
  <cp:revision>5</cp:revision>
  <cp:lastPrinted>2008-01-31T16:09:00Z</cp:lastPrinted>
  <dcterms:created xsi:type="dcterms:W3CDTF">2022-02-07T10:46:00Z</dcterms:created>
  <dcterms:modified xsi:type="dcterms:W3CDTF">2022-02-10T08:02:00Z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</Properties>
</file>